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BC" w:rsidRDefault="00B903BC" w:rsidP="00B903BC">
      <w:pPr>
        <w:tabs>
          <w:tab w:val="left" w:pos="4380"/>
        </w:tabs>
        <w:jc w:val="center"/>
        <w:rPr>
          <w:b/>
        </w:rPr>
      </w:pPr>
      <w:r>
        <w:rPr>
          <w:b/>
        </w:rPr>
        <w:t>Часть 2. ОПИСАНИЕ ПРЕДМЕТА ЗАКУПКИ</w:t>
      </w:r>
    </w:p>
    <w:p w:rsidR="00B903BC" w:rsidRDefault="00B903BC" w:rsidP="00B903BC">
      <w:pPr>
        <w:jc w:val="center"/>
        <w:rPr>
          <w:b/>
        </w:rPr>
      </w:pPr>
    </w:p>
    <w:p w:rsidR="00B903BC" w:rsidRDefault="00B903BC" w:rsidP="00B903BC">
      <w:pPr>
        <w:ind w:firstLineChars="183" w:firstLine="367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1.1Наименование услуги</w:t>
      </w:r>
    </w:p>
    <w:p w:rsidR="00B903BC" w:rsidRDefault="00B903BC" w:rsidP="00B903BC">
      <w:pPr>
        <w:ind w:firstLineChars="183" w:firstLine="366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Техническое и информационное сопровождение МИС “</w:t>
      </w:r>
      <w:proofErr w:type="spellStart"/>
      <w:r>
        <w:rPr>
          <w:color w:val="000000"/>
          <w:sz w:val="20"/>
          <w:szCs w:val="20"/>
          <w:shd w:val="clear" w:color="auto" w:fill="FFFFFF"/>
        </w:rPr>
        <w:t>Медиалог</w:t>
      </w:r>
      <w:proofErr w:type="spellEnd"/>
      <w:r>
        <w:rPr>
          <w:color w:val="000000"/>
          <w:sz w:val="20"/>
          <w:szCs w:val="20"/>
          <w:shd w:val="clear" w:color="auto" w:fill="FFFFFF"/>
        </w:rPr>
        <w:t>”.</w:t>
      </w:r>
    </w:p>
    <w:p w:rsidR="00B903BC" w:rsidRDefault="00B903BC" w:rsidP="00B903BC">
      <w:pPr>
        <w:ind w:firstLineChars="183" w:firstLine="367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1.2.</w:t>
      </w:r>
      <w:r>
        <w:rPr>
          <w:b/>
          <w:bCs/>
          <w:color w:val="000000"/>
          <w:sz w:val="20"/>
          <w:szCs w:val="20"/>
          <w:shd w:val="clear" w:color="auto" w:fill="FFFFFF"/>
        </w:rPr>
        <w:tab/>
        <w:t>Цели и состав оказания услуги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Целью оказания услуги является техническая, информационная и консультационная поддержка </w:t>
      </w:r>
      <w:r>
        <w:rPr>
          <w:color w:val="000000"/>
          <w:sz w:val="20"/>
          <w:szCs w:val="20"/>
        </w:rPr>
        <w:t xml:space="preserve">МИС МЕДИАЛОГ  у </w:t>
      </w:r>
      <w:r>
        <w:rPr>
          <w:color w:val="000000"/>
          <w:sz w:val="20"/>
          <w:szCs w:val="20"/>
          <w:shd w:val="clear" w:color="auto" w:fill="FFFFFF"/>
        </w:rPr>
        <w:t xml:space="preserve">Заказчика, проведение доработки существующего функционала. </w:t>
      </w:r>
    </w:p>
    <w:p w:rsidR="00B903BC" w:rsidRDefault="00B903BC" w:rsidP="00B903BC">
      <w:pPr>
        <w:ind w:left="360"/>
        <w:contextualSpacing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1.3.ТРЕБОВАНИЯ К ТЕХНИЧЕСКОМУ и ИНФОРМАЦИОННОМУ СОПРОВОЖДЕНИЮ МИС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Техническая поддержка МИС МЕДИАЛОГ осуществляется ежедневно с 9:00 до 18:00 часов (кроме выходных и праздничных дней). Информация, находящаяся на сервисном портале, доступна круглосуточно.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Прием и регистрация обращений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Обращение принимается с помощью коммуникационных средств и создается запись об обращении. В регистрационных данных указаны организация, фамилия и контактные реквизиты Заказчика, статус, приоритет и описание обращения. 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Основанием для регистрации считается заявка, размещенная на форуме технической поддержки,  а также бумажное письмо, отправленное на реквизиты Исполнителя, и имеющее все необходимые реквизиты для точной идентификации Заказчика и его просьбы. Консультирование Заказчика может выполняться по другим каналам (например, ICQ, </w:t>
      </w:r>
      <w:proofErr w:type="spellStart"/>
      <w:r>
        <w:rPr>
          <w:color w:val="000000"/>
          <w:sz w:val="20"/>
          <w:szCs w:val="20"/>
        </w:rPr>
        <w:t>Jabber</w:t>
      </w:r>
      <w:proofErr w:type="spellEnd"/>
      <w:r>
        <w:rPr>
          <w:color w:val="000000"/>
          <w:sz w:val="20"/>
          <w:szCs w:val="20"/>
        </w:rPr>
        <w:t>, устное обращение), но вопросы, заданные по этим каналам не являются официальными обращениями и регистрации не подлежат. Подобные средства связи рассматриваются только как средства общения и общих консультаций.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Количество направляемых заявок Заказчика в месяц неограниченно.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 инцидентом понимается любое событие, не являющее элементом нормального функционирования Системы и при этом оказывающее или способное оказать влияние на работу Системы путем ее прерывания или снижения качества.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 проблемой понимается неизвестная причина одного или нескольких инцидентов.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 задачей подразумевается любая из этих сущностей: инцидент, проблема, запрос. 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мероприятия по управлению инцидентами, проблемами и запросами входят: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определение,  регистрация и классификация (выставление приоритета) задачи; 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назначение ответственного сотрудника службы поддержки; 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начальная помощь; 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исследование и диагностика; 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разрешение инцидента и восстановление системы; 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получение подтверждения от клиента;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закрытие задачи. 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Критерием закрытия задачи является подтвержденный Заказчиком факт разрешения инцидента или проблемы, либо факт удовлетворенности ответом на запрос.</w:t>
      </w:r>
    </w:p>
    <w:p w:rsidR="00B903BC" w:rsidRDefault="00B903BC" w:rsidP="00B903BC">
      <w:pPr>
        <w:ind w:firstLineChars="183" w:firstLine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случае</w:t>
      </w:r>
      <w:proofErr w:type="gramStart"/>
      <w:r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если Заказчик не отвечает на запросы по взаимодействию в рамках решения задачи (включая запрос на закрытие задачи) более двух суток с момента первого обращения Исполнителя через сервисный портал, Исполнитель оставляет за собой право закрыть данную задачу, однако должен открыть задачу заново в случае повторного обращения.  </w:t>
      </w:r>
    </w:p>
    <w:p w:rsidR="00B903BC" w:rsidRDefault="00B903BC" w:rsidP="00B903BC">
      <w:pPr>
        <w:ind w:firstLine="28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Каталог сервиса</w:t>
      </w:r>
    </w:p>
    <w:tbl>
      <w:tblPr>
        <w:tblW w:w="12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5"/>
        <w:gridCol w:w="8680"/>
      </w:tblGrid>
      <w:tr w:rsidR="00B903BC" w:rsidTr="00C131C8">
        <w:trPr>
          <w:jc w:val="center"/>
        </w:trPr>
        <w:tc>
          <w:tcPr>
            <w:tcW w:w="4215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680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</w:t>
            </w:r>
          </w:p>
        </w:tc>
      </w:tr>
      <w:tr w:rsidR="00B903BC" w:rsidTr="00C131C8">
        <w:trPr>
          <w:jc w:val="center"/>
        </w:trPr>
        <w:tc>
          <w:tcPr>
            <w:tcW w:w="4215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Управление: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Инцидентами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Проблемами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Запросами</w:t>
            </w:r>
          </w:p>
        </w:tc>
        <w:tc>
          <w:tcPr>
            <w:tcW w:w="8680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 инцидентов/проблем, работа по запросам, относящимся к установке, настройке и эксплуатации стандартной функциональности Системы, ее обновлений и исправлений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 инцидентов/проблем, связанных с доступом к ресурсам сервисного портала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мониторинг статуса и приоритета инцидента/проблемы/запроса</w:t>
            </w:r>
          </w:p>
        </w:tc>
      </w:tr>
      <w:tr w:rsidR="00B903BC" w:rsidTr="00C131C8">
        <w:trPr>
          <w:jc w:val="center"/>
        </w:trPr>
        <w:tc>
          <w:tcPr>
            <w:tcW w:w="4215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Консультации</w:t>
            </w:r>
          </w:p>
        </w:tc>
        <w:tc>
          <w:tcPr>
            <w:tcW w:w="8680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Рекомендации по использованию МИС МЕДИАЛОГ в рамках специфицированных Заказчиком бизнес-процессов</w:t>
            </w:r>
          </w:p>
        </w:tc>
      </w:tr>
      <w:tr w:rsidR="00B903BC" w:rsidTr="00C131C8">
        <w:trPr>
          <w:jc w:val="center"/>
        </w:trPr>
        <w:tc>
          <w:tcPr>
            <w:tcW w:w="4215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Ресурсы сервисного портала</w:t>
            </w:r>
          </w:p>
        </w:tc>
        <w:tc>
          <w:tcPr>
            <w:tcW w:w="8680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доступа к порталу технической поддержки</w:t>
            </w:r>
          </w:p>
        </w:tc>
      </w:tr>
      <w:tr w:rsidR="00B903BC" w:rsidTr="00C131C8">
        <w:trPr>
          <w:jc w:val="center"/>
        </w:trPr>
        <w:tc>
          <w:tcPr>
            <w:tcW w:w="4215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Документации</w:t>
            </w:r>
          </w:p>
        </w:tc>
        <w:tc>
          <w:tcPr>
            <w:tcW w:w="8680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Заказчиком последними версиями Документации Системы, выпущенными или одобренными Заказчиком (руководство пользователя, методические материалы)</w:t>
            </w:r>
          </w:p>
        </w:tc>
      </w:tr>
    </w:tbl>
    <w:p w:rsidR="00B903BC" w:rsidRDefault="00B903BC" w:rsidP="00B903BC">
      <w:pPr>
        <w:ind w:firstLine="284"/>
        <w:jc w:val="both"/>
        <w:rPr>
          <w:color w:val="000000"/>
          <w:sz w:val="20"/>
          <w:szCs w:val="20"/>
        </w:rPr>
      </w:pPr>
    </w:p>
    <w:p w:rsidR="00B903BC" w:rsidRDefault="00B903BC" w:rsidP="00B903BC">
      <w:pPr>
        <w:ind w:firstLine="28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Ограничения</w:t>
      </w:r>
    </w:p>
    <w:tbl>
      <w:tblPr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5"/>
        <w:gridCol w:w="6945"/>
      </w:tblGrid>
      <w:tr w:rsidR="00B903BC" w:rsidTr="00C131C8">
        <w:trPr>
          <w:jc w:val="center"/>
        </w:trPr>
        <w:tc>
          <w:tcPr>
            <w:tcW w:w="3465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945" w:type="dxa"/>
          </w:tcPr>
          <w:p w:rsidR="00B903BC" w:rsidRDefault="00B903BC" w:rsidP="00C131C8">
            <w:pPr>
              <w:ind w:right="-2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</w:t>
            </w:r>
          </w:p>
        </w:tc>
      </w:tr>
      <w:tr w:rsidR="00B903BC" w:rsidTr="00C131C8">
        <w:trPr>
          <w:jc w:val="center"/>
        </w:trPr>
        <w:tc>
          <w:tcPr>
            <w:tcW w:w="3465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Управление:</w:t>
            </w:r>
          </w:p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Инцидентами</w:t>
            </w:r>
          </w:p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Проблемами</w:t>
            </w:r>
          </w:p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Запросами</w:t>
            </w:r>
          </w:p>
        </w:tc>
        <w:tc>
          <w:tcPr>
            <w:tcW w:w="6945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Обработке не подлежат инциденты/проблемы/запросы, связанные с неподдерживаемым Исполнителем окружением программных продуктов, включая операционную систему.</w:t>
            </w:r>
          </w:p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Обработке не подлежат инциденты/проблемы/запросы, связанные с функциональностью СУБД, включая разграничение прав доступа на уровне СУБД и резервное копирование, если данные проблемы не связаны с функционированием Системы.</w:t>
            </w:r>
            <w:proofErr w:type="gramEnd"/>
          </w:p>
        </w:tc>
      </w:tr>
      <w:tr w:rsidR="00B903BC" w:rsidTr="00C131C8">
        <w:trPr>
          <w:jc w:val="center"/>
        </w:trPr>
        <w:tc>
          <w:tcPr>
            <w:tcW w:w="3465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Консультации</w:t>
            </w:r>
          </w:p>
        </w:tc>
        <w:tc>
          <w:tcPr>
            <w:tcW w:w="6945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Поддержку не входят:</w:t>
            </w:r>
          </w:p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Консультации по созданию бизнес-процессов Заказчиком, не связанных с МИС МЕДИАЛОГ.</w:t>
            </w:r>
          </w:p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Консультации и помощь по созданию и/или отладке программного кода или приложений, не связанных с МИС МЕДИАЛОГ.</w:t>
            </w:r>
          </w:p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Консультации и помощь по вопросам внесения изменений в функционал Системы с помощью сторонних средств разработки</w:t>
            </w:r>
          </w:p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диагностики и аудита на стороне Заказчика, за исключением отношений, регламентированных соответствующими Договорами.  </w:t>
            </w:r>
          </w:p>
        </w:tc>
      </w:tr>
    </w:tbl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Все работы в рамках Сервиса осуществляются при помощи сервисного портала Исполнителя, электронной почты, телефонной связи.</w:t>
      </w:r>
    </w:p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Менеджер Технической Поддержки Исполнителя, при поступлении запроса, устанавливает приоритет запроса в соответствии с Матрицей приоритетов. </w:t>
      </w:r>
    </w:p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 временем первой реакции подразумевается регистрация проблемы на сервисном портале с одновременным уведомлением Заказчика электронным письмом о факте регистрации и уникальном номере задачи.</w:t>
      </w:r>
    </w:p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 временем разрешения запроса подразумевается чистое время разрешения проблемы специалистами Исполнителя. Время разрешения запроса не включает в себя ожидание ответа от инициатора запроса.</w:t>
      </w:r>
    </w:p>
    <w:p w:rsidR="00B903BC" w:rsidRDefault="00B903BC" w:rsidP="00B903BC">
      <w:pPr>
        <w:ind w:firstLine="28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Матрица приоритетов</w:t>
      </w:r>
    </w:p>
    <w:tbl>
      <w:tblPr>
        <w:tblW w:w="11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8"/>
        <w:gridCol w:w="2268"/>
        <w:gridCol w:w="1559"/>
        <w:gridCol w:w="2126"/>
        <w:gridCol w:w="1843"/>
      </w:tblGrid>
      <w:tr w:rsidR="00B903BC" w:rsidTr="00C131C8">
        <w:trPr>
          <w:trHeight w:val="700"/>
          <w:jc w:val="center"/>
        </w:trPr>
        <w:tc>
          <w:tcPr>
            <w:tcW w:w="3548" w:type="dxa"/>
          </w:tcPr>
          <w:p w:rsidR="00B903BC" w:rsidRDefault="00B903BC" w:rsidP="00C131C8">
            <w:pPr>
              <w:ind w:firstLine="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Приоритет</w:t>
            </w:r>
          </w:p>
        </w:tc>
        <w:tc>
          <w:tcPr>
            <w:tcW w:w="2268" w:type="dxa"/>
          </w:tcPr>
          <w:p w:rsidR="00B903BC" w:rsidRDefault="00B903BC" w:rsidP="00C131C8">
            <w:pPr>
              <w:ind w:firstLine="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559" w:type="dxa"/>
          </w:tcPr>
          <w:p w:rsidR="00B903BC" w:rsidRDefault="00B903BC" w:rsidP="00C131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Время первой реакции</w:t>
            </w:r>
          </w:p>
        </w:tc>
        <w:tc>
          <w:tcPr>
            <w:tcW w:w="2126" w:type="dxa"/>
          </w:tcPr>
          <w:p w:rsidR="00B903BC" w:rsidRDefault="00B903BC" w:rsidP="00C131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Время разрешения запроса</w:t>
            </w:r>
          </w:p>
        </w:tc>
        <w:tc>
          <w:tcPr>
            <w:tcW w:w="1843" w:type="dxa"/>
          </w:tcPr>
          <w:p w:rsidR="00B903BC" w:rsidRDefault="00B903BC" w:rsidP="00C131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Выделяемые ресурсы</w:t>
            </w:r>
          </w:p>
        </w:tc>
      </w:tr>
      <w:tr w:rsidR="00B903BC" w:rsidTr="00C131C8">
        <w:trPr>
          <w:trHeight w:val="1900"/>
          <w:jc w:val="center"/>
        </w:trPr>
        <w:tc>
          <w:tcPr>
            <w:tcW w:w="3548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0 – Критический</w:t>
            </w:r>
            <w:proofErr w:type="gramEnd"/>
          </w:p>
        </w:tc>
        <w:tc>
          <w:tcPr>
            <w:tcW w:w="2268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Сбой в работе Системы, который препятствует использованию Системы на большинстве рабочих мест Заказчика, либо наличие существенного риска такого сбоя в случае бездействия со стороны Исполнителя.</w:t>
            </w:r>
            <w:proofErr w:type="gramEnd"/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 рабочих часа</w:t>
            </w:r>
          </w:p>
        </w:tc>
        <w:tc>
          <w:tcPr>
            <w:tcW w:w="2126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одного рабочего дня</w:t>
            </w:r>
          </w:p>
        </w:tc>
        <w:tc>
          <w:tcPr>
            <w:tcW w:w="1843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скорейшего решения выделяются все необходимые ресурсы, которые остаются задействованными до закрытия инцидента или проблемы, либо до снижения критичности и перевода в статус «Срочный» или «Стандартный»</w:t>
            </w:r>
          </w:p>
        </w:tc>
      </w:tr>
      <w:tr w:rsidR="00B903BC" w:rsidTr="00C131C8">
        <w:trPr>
          <w:trHeight w:val="2330"/>
          <w:jc w:val="center"/>
        </w:trPr>
        <w:tc>
          <w:tcPr>
            <w:tcW w:w="3548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 – Срочный</w:t>
            </w:r>
            <w:proofErr w:type="gramEnd"/>
          </w:p>
        </w:tc>
        <w:tc>
          <w:tcPr>
            <w:tcW w:w="2268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Сбой в работе Системы, оказывающий существенное влияние на работу: Заказчик может продолжать работу, но для этого требуется существенное изменение алгоритмов работы.</w:t>
            </w:r>
          </w:p>
        </w:tc>
        <w:tc>
          <w:tcPr>
            <w:tcW w:w="1559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 рабочих часа</w:t>
            </w:r>
          </w:p>
        </w:tc>
        <w:tc>
          <w:tcPr>
            <w:tcW w:w="2126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Устанавливается в течение 1 рабочего дня и разрешается в течение 1 рабочей недели</w:t>
            </w:r>
          </w:p>
        </w:tc>
        <w:tc>
          <w:tcPr>
            <w:tcW w:w="1843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попадает в план исполнителей немедленно. У каждого исполнителя задачи данного типа имеют более высокий приоритет, чем все остальные, за исключением задач приоритета «0».</w:t>
            </w:r>
          </w:p>
        </w:tc>
      </w:tr>
      <w:tr w:rsidR="00B903BC" w:rsidTr="00C131C8">
        <w:trPr>
          <w:trHeight w:val="1645"/>
          <w:jc w:val="center"/>
        </w:trPr>
        <w:tc>
          <w:tcPr>
            <w:tcW w:w="3548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10 – Стандартный</w:t>
            </w:r>
            <w:proofErr w:type="gramEnd"/>
          </w:p>
        </w:tc>
        <w:tc>
          <w:tcPr>
            <w:tcW w:w="2268" w:type="dxa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Остальные инциденты, проблемы, запросы</w:t>
            </w:r>
          </w:p>
        </w:tc>
        <w:tc>
          <w:tcPr>
            <w:tcW w:w="1559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 рабочих часа</w:t>
            </w:r>
          </w:p>
        </w:tc>
        <w:tc>
          <w:tcPr>
            <w:tcW w:w="2126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Устанавливается в течение рабочей недели, при этом срок решения согласуется с Заказчиком. </w:t>
            </w:r>
          </w:p>
        </w:tc>
        <w:tc>
          <w:tcPr>
            <w:tcW w:w="1843" w:type="dxa"/>
          </w:tcPr>
          <w:p w:rsidR="00B903BC" w:rsidRDefault="00B903BC" w:rsidP="00C131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Рассматриваются в рабочем порядке.</w:t>
            </w:r>
          </w:p>
        </w:tc>
      </w:tr>
    </w:tbl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Если задача, по мнению Заказчика, носит приоритет, отличный от установленного в соответствии с матрицей приоритетов, Заказчик может указать в заявке срочность задачи с обязательным обоснованием.</w:t>
      </w:r>
      <w:proofErr w:type="gramEnd"/>
    </w:p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наличии объективных причин, согласованных с Заказчиком, время разрешения запросов может быть увеличено.</w:t>
      </w:r>
    </w:p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</w:p>
    <w:p w:rsidR="00B903BC" w:rsidRDefault="00B903BC" w:rsidP="00B903BC">
      <w:pPr>
        <w:ind w:firstLine="44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Перечень поддерживаемых модулей</w:t>
      </w:r>
    </w:p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Исполнитель оказывает Заказчику услуги по технической поддержке МИС МЕДИАЛОГ в объеме:</w:t>
      </w:r>
    </w:p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Поддержка по стандартной функциональности МИС МЕДИАЛОГ в форме </w:t>
      </w:r>
      <w:proofErr w:type="gramStart"/>
      <w:r>
        <w:rPr>
          <w:color w:val="000000"/>
          <w:sz w:val="20"/>
          <w:szCs w:val="20"/>
        </w:rPr>
        <w:t>разрешения запросов/инцидентов/проблем</w:t>
      </w:r>
      <w:proofErr w:type="gramEnd"/>
      <w:r>
        <w:rPr>
          <w:color w:val="000000"/>
          <w:sz w:val="20"/>
          <w:szCs w:val="20"/>
        </w:rPr>
        <w:t xml:space="preserve"> через сервисный портал, электронную почту, по телефону.</w:t>
      </w:r>
    </w:p>
    <w:p w:rsidR="00B903BC" w:rsidRDefault="00B903BC" w:rsidP="00B903BC">
      <w:pPr>
        <w:ind w:firstLine="4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сопутствующей Системе документации.</w:t>
      </w:r>
    </w:p>
    <w:p w:rsidR="00B903BC" w:rsidRDefault="00B903BC" w:rsidP="00B903BC">
      <w:pPr>
        <w:ind w:firstLine="44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Перечень поддерживаемых модулей:</w:t>
      </w:r>
    </w:p>
    <w:tbl>
      <w:tblPr>
        <w:tblW w:w="13370" w:type="dxa"/>
        <w:jc w:val="center"/>
        <w:tblLook w:val="04A0"/>
      </w:tblPr>
      <w:tblGrid>
        <w:gridCol w:w="5932"/>
        <w:gridCol w:w="7438"/>
      </w:tblGrid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«Интеграция с ЛИС»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Передача данных о пациентах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Передача данных о созданных лабораторных направлениях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Консультирование по настройке справочников соответстви</w:t>
            </w:r>
            <w:proofErr w:type="gramStart"/>
            <w:r>
              <w:rPr>
                <w:color w:val="000000"/>
                <w:sz w:val="20"/>
                <w:szCs w:val="20"/>
              </w:rPr>
              <w:t>я(</w:t>
            </w:r>
            <w:proofErr w:type="gramEnd"/>
            <w:r>
              <w:rPr>
                <w:color w:val="000000"/>
                <w:sz w:val="20"/>
                <w:szCs w:val="20"/>
              </w:rPr>
              <w:t>направления и параметры)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Консультирование по настройке лабораторных направлений, типов записей, печатных форм</w:t>
            </w:r>
          </w:p>
        </w:tc>
      </w:tr>
      <w:tr w:rsidR="00B903BC" w:rsidTr="00C131C8">
        <w:trPr>
          <w:trHeight w:val="945"/>
          <w:jc w:val="center"/>
        </w:trPr>
        <w:tc>
          <w:tcPr>
            <w:tcW w:w="5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«Реестры ОМС»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справочников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алгоритмов формирования реестров под требования ТФОМС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Обновление </w:t>
            </w:r>
            <w:proofErr w:type="gramStart"/>
            <w:r>
              <w:rPr>
                <w:color w:val="000000"/>
                <w:sz w:val="20"/>
                <w:szCs w:val="20"/>
              </w:rPr>
              <w:t>алгоритмов идентификации пациентов реестра</w:t>
            </w:r>
            <w:proofErr w:type="gramEnd"/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алгоритмов загрузки ответа по реестру (ошибки и суммы по случаям)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отчетных форм по реестру (по ошибкам и суммам)</w:t>
            </w:r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«Реестры ДМС»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Настройка печатных форм реестров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различных страховых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и настройка алгоритмов поиска оказанных услуг для формирования реестра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и настройка формы регистрации гарантийных писем из ЭМК пациента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Консультирование по настройке </w:t>
            </w:r>
            <w:proofErr w:type="gramStart"/>
            <w:r>
              <w:rPr>
                <w:color w:val="000000"/>
                <w:sz w:val="20"/>
                <w:szCs w:val="20"/>
              </w:rPr>
              <w:t>конфигураций импорта списков пациентов</w:t>
            </w:r>
            <w:proofErr w:type="gramEnd"/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«Поликлиника»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печати отчетных форм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таблиц и  экранных форм для формирования отчетности и реестров 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типовых сценариев</w:t>
            </w:r>
          </w:p>
        </w:tc>
      </w:tr>
      <w:tr w:rsidR="00B903BC" w:rsidTr="00C131C8">
        <w:trPr>
          <w:trHeight w:val="980"/>
          <w:jc w:val="center"/>
        </w:trPr>
        <w:tc>
          <w:tcPr>
            <w:tcW w:w="5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</w:t>
            </w:r>
            <w:proofErr w:type="spellStart"/>
            <w:r>
              <w:rPr>
                <w:color w:val="000000"/>
                <w:sz w:val="20"/>
                <w:szCs w:val="20"/>
              </w:rPr>
              <w:t>Профосмотры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Конвертер поименных списков 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Консультирование по настройке конфигураций импорта, планов лечения, печатных форм.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экранных форм 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формирования заключительной документации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Поддержка автоматического </w:t>
            </w:r>
            <w:proofErr w:type="gramStart"/>
            <w:r>
              <w:rPr>
                <w:color w:val="000000"/>
                <w:sz w:val="20"/>
                <w:szCs w:val="20"/>
              </w:rPr>
              <w:t>формирования плана прохождения медицинского осмотра</w:t>
            </w:r>
            <w:proofErr w:type="gramEnd"/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«Интеграция с бухгалтерией»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Передача документов прихода, перемещения, списания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</w:p>
        </w:tc>
      </w:tr>
      <w:tr w:rsidR="00B903BC" w:rsidTr="00C131C8">
        <w:trPr>
          <w:trHeight w:val="475"/>
          <w:jc w:val="center"/>
        </w:trPr>
        <w:tc>
          <w:tcPr>
            <w:tcW w:w="5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«Аптека»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Автоматический импорт электронных накладных из электронной почты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печатных форм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отчетов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проверки забракованных товаров</w:t>
            </w:r>
          </w:p>
        </w:tc>
      </w:tr>
      <w:tr w:rsidR="00B903BC" w:rsidTr="00C131C8">
        <w:trPr>
          <w:trHeight w:val="1236"/>
          <w:jc w:val="center"/>
        </w:trPr>
        <w:tc>
          <w:tcPr>
            <w:tcW w:w="5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Поддержка модуля «Стационар»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печати отчетных форм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таблиц и  экранных форм для формирования отчетности и реестров 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типовых сценариев</w:t>
            </w:r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«Касса и регистратура»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алгоритмов запроса информации по полису пациента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типовых сценариев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печати отчетных форм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Настройка таблиц и  экранных форм для формирования отчетности и реестров</w:t>
            </w:r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«Листки нетрудоспособности»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экранных форм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алгоритмов интеграции с сервисом ФСС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отчетных форм: 036/у, 16ВН</w:t>
            </w:r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модуля «Маркировка лекарств»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Консультирование Заказчиком по работе в системе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Передача приходной накладной в </w:t>
            </w:r>
            <w:proofErr w:type="spellStart"/>
            <w:r>
              <w:rPr>
                <w:color w:val="000000"/>
                <w:sz w:val="20"/>
                <w:szCs w:val="20"/>
              </w:rPr>
              <w:t>медиалог</w:t>
            </w:r>
            <w:proofErr w:type="spellEnd"/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Обмен данными с ФГИС “Маркировка”</w:t>
            </w:r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и обновление СЭМД «Направление на медико-социальную экспертизу» в соответствии с требованиями информационного взаимодействия размещенных на портале оперативного взаимодействия участников ЕГИСЗ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справочников НСИ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алгоритмов формирования СЭМД под требованиями информационного взаимодействия размещенных на портале оперативного взаимодействия участников ЕГИСЗ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Консультирование по положительному прохождению форматно-логического контроля регистрируемого СЭМД в РЭМД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Default="00B903BC" w:rsidP="00C131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Поддержка модуля </w:t>
            </w:r>
            <w:r>
              <w:rPr>
                <w:rFonts w:eastAsia="Arial Unicode MS"/>
                <w:sz w:val="20"/>
                <w:szCs w:val="20"/>
              </w:rPr>
              <w:t>«Лист ожидания» v2.0.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Интеграция с МИС «</w:t>
            </w:r>
            <w:proofErr w:type="spellStart"/>
            <w:r>
              <w:rPr>
                <w:color w:val="000000"/>
                <w:sz w:val="20"/>
                <w:szCs w:val="20"/>
              </w:rPr>
              <w:t>Медиалог</w:t>
            </w:r>
            <w:proofErr w:type="spellEnd"/>
            <w:r>
              <w:rPr>
                <w:color w:val="000000"/>
                <w:sz w:val="20"/>
                <w:szCs w:val="20"/>
              </w:rPr>
              <w:t>»;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Внесение пациента в лист ожидания из МИС: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на определённого врача;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на определённую услугу.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в лист ожидания по типу приему (первичный или повторный);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«времени жизни» пациента в листе ожидания (задаваемый параметр);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Указание удобной даты и времени приема пациента;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занесения пациента в Лист ожидания (Проверка пациента по записи к этому специалисту или на эту услугу);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занесения пациента в Лист ожидания (Визуальное предупреждение о наличии пациента в Листе ожидания);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Возможность указание маркера «экстренное медицинское показание» при занесении пациента в лист ожидания;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Фильтрация по персональным данным пациента;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Счётчик количества звонков пациенту;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Возможность телефонного звонка пациенту. Интеграция с IP телефонией на базе </w:t>
            </w:r>
            <w:proofErr w:type="spellStart"/>
            <w:r>
              <w:rPr>
                <w:color w:val="000000"/>
                <w:sz w:val="20"/>
                <w:szCs w:val="20"/>
              </w:rPr>
              <w:t>cisco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</w:t>
            </w:r>
            <w:proofErr w:type="spellStart"/>
            <w:r>
              <w:rPr>
                <w:color w:val="000000"/>
                <w:sz w:val="20"/>
                <w:szCs w:val="20"/>
              </w:rPr>
              <w:t>asterisk</w:t>
            </w:r>
            <w:proofErr w:type="spellEnd"/>
            <w:r>
              <w:rPr>
                <w:color w:val="000000"/>
                <w:sz w:val="20"/>
                <w:szCs w:val="20"/>
              </w:rPr>
              <w:t>.;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«рейтингами» пациентов (</w:t>
            </w:r>
            <w:proofErr w:type="spellStart"/>
            <w:r>
              <w:rPr>
                <w:color w:val="000000"/>
                <w:sz w:val="20"/>
                <w:szCs w:val="20"/>
              </w:rPr>
              <w:t>Приоритизация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Перемещение пациента в Листе ожидания между врачами или услугами;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Ручное добавление пациента в лист ожидания;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правами доступа до модуля.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</w:p>
        </w:tc>
      </w:tr>
      <w:tr w:rsidR="00B903BC" w:rsidTr="00C131C8">
        <w:trPr>
          <w:trHeight w:val="630"/>
          <w:jc w:val="center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3BC" w:rsidRPr="00C3115A" w:rsidRDefault="00B903BC" w:rsidP="00C131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Передача неисключительного права использования  «МИП» Версии 2.4 в конфигурации: модуль </w:t>
            </w:r>
            <w:r w:rsidRPr="00C3115A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Справки об оплате медицинских услуг для представления в налоговый орган</w:t>
            </w:r>
            <w:r w:rsidRPr="00C3115A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v1.0</w:t>
            </w:r>
            <w:r w:rsidRPr="00C3115A">
              <w:rPr>
                <w:bCs/>
                <w:sz w:val="20"/>
                <w:szCs w:val="20"/>
              </w:rPr>
              <w:t xml:space="preserve"> и поддержка данного модуля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 w:rsidRPr="00C3115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Экранная форма для автоматического формирования справки в МИС </w:t>
            </w:r>
            <w:r w:rsidRPr="00C3115A"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Медиалог</w:t>
            </w:r>
            <w:proofErr w:type="spellEnd"/>
            <w:r w:rsidRPr="00C3115A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 w:rsidRPr="00C3115A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>Печатная форма справки об оплате медицинских услуг для представления в налоговый орган согласно требованиям Приказа ФНС России;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 w:rsidRPr="00C3115A"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</w:rPr>
              <w:t>Формат представления справки в налоговый орган в электронной форме (XML) согласно требованиям Приказа ФНС России (индивидуальная справка плательщика);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 w:rsidRPr="00C3115A">
              <w:rPr>
                <w:color w:val="000000"/>
                <w:sz w:val="20"/>
                <w:szCs w:val="20"/>
              </w:rPr>
              <w:t xml:space="preserve">4. </w:t>
            </w:r>
            <w:r>
              <w:rPr>
                <w:color w:val="000000"/>
                <w:sz w:val="20"/>
                <w:szCs w:val="20"/>
              </w:rPr>
              <w:t>Формат представления справки в налоговый орган в электронной форме (XML) согласно требованиям Приказа ФНС России (реестр справок на группу плательщиков);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 w:rsidRPr="00C3115A"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color w:val="000000"/>
                <w:sz w:val="20"/>
                <w:szCs w:val="20"/>
              </w:rPr>
              <w:t>Контроль ранее выданных справок;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  <w:r w:rsidRPr="00C3115A">
              <w:rPr>
                <w:color w:val="000000"/>
                <w:sz w:val="20"/>
                <w:szCs w:val="20"/>
              </w:rPr>
              <w:t xml:space="preserve">6. </w:t>
            </w:r>
            <w:r>
              <w:rPr>
                <w:color w:val="000000"/>
                <w:sz w:val="20"/>
                <w:szCs w:val="20"/>
              </w:rPr>
              <w:t>Нумератор формируемых справок;</w:t>
            </w:r>
          </w:p>
          <w:p w:rsidR="00B903BC" w:rsidRDefault="00B903BC" w:rsidP="00C131C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45C56" w:rsidRDefault="00A45C56"/>
    <w:sectPr w:rsidR="00A45C56" w:rsidSect="00B90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03BC"/>
    <w:rsid w:val="00A45C56"/>
    <w:rsid w:val="00B9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1730</Words>
  <Characters>9862</Characters>
  <Application>Microsoft Office Word</Application>
  <DocSecurity>0</DocSecurity>
  <Lines>82</Lines>
  <Paragraphs>23</Paragraphs>
  <ScaleCrop>false</ScaleCrop>
  <Company>RZD</Company>
  <LinksUpToDate>false</LinksUpToDate>
  <CharactersWithSpaces>11569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</dc:creator>
  <cp:keywords/>
  <dc:description/>
  <cp:lastModifiedBy>tria</cp:lastModifiedBy>
  <cp:revision>2</cp:revision>
  <dcterms:created xsi:type="dcterms:W3CDTF">2026-02-10T04:28:00Z</dcterms:created>
  <dcterms:modified xsi:type="dcterms:W3CDTF">2026-02-10T04:29:00Z</dcterms:modified>
</cp:coreProperties>
</file>