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960F" w14:textId="77777777" w:rsidR="002819C7" w:rsidRPr="00285BBC" w:rsidRDefault="002819C7" w:rsidP="002819C7">
      <w:pPr>
        <w:tabs>
          <w:tab w:val="left" w:pos="8127"/>
        </w:tabs>
        <w:jc w:val="center"/>
        <w:rPr>
          <w:b/>
        </w:rPr>
      </w:pPr>
      <w:r w:rsidRPr="00285BBC">
        <w:rPr>
          <w:b/>
        </w:rPr>
        <w:t>ТЕХНИЧЕСКОЕ ЗАДАНИЕ</w:t>
      </w:r>
    </w:p>
    <w:p w14:paraId="0626811D" w14:textId="77777777" w:rsidR="002819C7" w:rsidRDefault="002819C7" w:rsidP="002819C7">
      <w:pPr>
        <w:jc w:val="center"/>
      </w:pPr>
      <w:r w:rsidRPr="00F06001">
        <w:t xml:space="preserve">на поставку </w:t>
      </w:r>
      <w:r w:rsidRPr="0000700A">
        <w:t>программно-аппаратного комплекса с программным обеспечением</w:t>
      </w:r>
    </w:p>
    <w:p w14:paraId="62DD9518" w14:textId="734C3E2E" w:rsidR="009E1BEE" w:rsidRPr="009E1BEE" w:rsidRDefault="009E1BEE" w:rsidP="009E1BEE">
      <w:pPr>
        <w:jc w:val="center"/>
        <w:rPr>
          <w:color w:val="000000"/>
          <w:shd w:val="clear" w:color="auto" w:fill="FFFFFF"/>
        </w:rPr>
      </w:pPr>
      <w:r w:rsidRPr="009E1BEE">
        <w:rPr>
          <w:color w:val="000000"/>
          <w:shd w:val="clear" w:color="auto" w:fill="FFFFFF"/>
        </w:rPr>
        <w:t xml:space="preserve">Приобретение </w:t>
      </w:r>
      <w:proofErr w:type="spellStart"/>
      <w:r w:rsidRPr="009E1BEE">
        <w:rPr>
          <w:color w:val="000000"/>
          <w:shd w:val="clear" w:color="auto" w:fill="FFFFFF"/>
        </w:rPr>
        <w:t>VipNet</w:t>
      </w:r>
      <w:proofErr w:type="spellEnd"/>
      <w:r w:rsidRPr="009E1BEE">
        <w:rPr>
          <w:color w:val="000000"/>
          <w:shd w:val="clear" w:color="auto" w:fill="FFFFFF"/>
        </w:rPr>
        <w:t xml:space="preserve"> </w:t>
      </w:r>
      <w:proofErr w:type="spellStart"/>
      <w:r w:rsidRPr="009E1BEE">
        <w:rPr>
          <w:color w:val="000000"/>
          <w:shd w:val="clear" w:color="auto" w:fill="FFFFFF"/>
        </w:rPr>
        <w:t>Coordinator</w:t>
      </w:r>
      <w:proofErr w:type="spellEnd"/>
      <w:r w:rsidRPr="009E1BEE">
        <w:rPr>
          <w:color w:val="000000"/>
          <w:shd w:val="clear" w:color="auto" w:fill="FFFFFF"/>
        </w:rPr>
        <w:t xml:space="preserve"> HW10 4.x в количестве 1 единицы;</w:t>
      </w:r>
    </w:p>
    <w:p w14:paraId="789E9F54" w14:textId="77777777" w:rsidR="002819C7" w:rsidRPr="005128E6" w:rsidRDefault="002819C7" w:rsidP="002819C7">
      <w:pPr>
        <w:jc w:val="left"/>
        <w:rPr>
          <w:b/>
        </w:rPr>
      </w:pPr>
      <w:r w:rsidRPr="005128E6">
        <w:rPr>
          <w:b/>
        </w:rPr>
        <w:t>1.</w:t>
      </w:r>
      <w:r>
        <w:rPr>
          <w:b/>
        </w:rPr>
        <w:t xml:space="preserve"> </w:t>
      </w:r>
      <w:r w:rsidRPr="005128E6">
        <w:rPr>
          <w:b/>
        </w:rPr>
        <w:t>Объект закупки и его количество</w:t>
      </w:r>
    </w:p>
    <w:p w14:paraId="78536059" w14:textId="77777777" w:rsidR="002819C7" w:rsidRDefault="002819C7" w:rsidP="002819C7">
      <w:pPr>
        <w:jc w:val="right"/>
      </w:pPr>
      <w:r w:rsidRPr="005128E6">
        <w:t xml:space="preserve">                                                                                                       Таблица №1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7219"/>
        <w:gridCol w:w="1067"/>
        <w:gridCol w:w="895"/>
      </w:tblGrid>
      <w:tr w:rsidR="002819C7" w:rsidRPr="00F36850" w14:paraId="1B1F78C0" w14:textId="77777777" w:rsidTr="00544FE2">
        <w:trPr>
          <w:trHeight w:val="210"/>
        </w:trPr>
        <w:tc>
          <w:tcPr>
            <w:tcW w:w="686" w:type="dxa"/>
            <w:vAlign w:val="center"/>
          </w:tcPr>
          <w:p w14:paraId="31A41E1C" w14:textId="77777777" w:rsidR="002819C7" w:rsidRPr="00F36850" w:rsidRDefault="002819C7" w:rsidP="00544FE2">
            <w:pPr>
              <w:spacing w:after="0"/>
              <w:jc w:val="center"/>
              <w:rPr>
                <w:color w:val="000000"/>
              </w:rPr>
            </w:pPr>
            <w:r w:rsidRPr="00F36850">
              <w:rPr>
                <w:color w:val="000000"/>
                <w:sz w:val="22"/>
              </w:rPr>
              <w:t>№</w:t>
            </w:r>
          </w:p>
          <w:p w14:paraId="0023E1AE" w14:textId="77777777" w:rsidR="002819C7" w:rsidRPr="00F36850" w:rsidRDefault="002819C7" w:rsidP="00544FE2">
            <w:pPr>
              <w:spacing w:after="0"/>
              <w:jc w:val="center"/>
              <w:rPr>
                <w:color w:val="000000"/>
              </w:rPr>
            </w:pPr>
            <w:r w:rsidRPr="00F36850">
              <w:rPr>
                <w:color w:val="000000"/>
                <w:sz w:val="22"/>
              </w:rPr>
              <w:t>п/п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7B958AF4" w14:textId="77777777" w:rsidR="002819C7" w:rsidRPr="00F36850" w:rsidRDefault="002819C7" w:rsidP="00544FE2">
            <w:pPr>
              <w:spacing w:after="0"/>
              <w:jc w:val="center"/>
              <w:rPr>
                <w:color w:val="000000"/>
              </w:rPr>
            </w:pPr>
            <w:r w:rsidRPr="00F36850"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33009C11" w14:textId="77777777" w:rsidR="002819C7" w:rsidRPr="00F36850" w:rsidRDefault="002819C7" w:rsidP="00544FE2">
            <w:pPr>
              <w:spacing w:after="0"/>
              <w:jc w:val="center"/>
              <w:rPr>
                <w:color w:val="000000"/>
              </w:rPr>
            </w:pPr>
            <w:r w:rsidRPr="00F36850">
              <w:rPr>
                <w:color w:val="000000"/>
                <w:sz w:val="22"/>
              </w:rPr>
              <w:t>Ед.</w:t>
            </w:r>
            <w:r w:rsidRPr="00F36850">
              <w:rPr>
                <w:color w:val="000000"/>
                <w:sz w:val="22"/>
              </w:rPr>
              <w:br/>
              <w:t>изм.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700FEB" w14:textId="77777777" w:rsidR="002819C7" w:rsidRPr="00F36850" w:rsidRDefault="002819C7" w:rsidP="00544FE2">
            <w:pPr>
              <w:spacing w:after="0"/>
              <w:jc w:val="center"/>
              <w:rPr>
                <w:color w:val="000000"/>
              </w:rPr>
            </w:pPr>
            <w:r w:rsidRPr="00F36850">
              <w:rPr>
                <w:color w:val="000000"/>
                <w:sz w:val="22"/>
              </w:rPr>
              <w:t xml:space="preserve">Объем </w:t>
            </w:r>
          </w:p>
        </w:tc>
      </w:tr>
      <w:tr w:rsidR="002819C7" w:rsidRPr="00F36850" w14:paraId="6C37064F" w14:textId="77777777" w:rsidTr="00544FE2">
        <w:trPr>
          <w:trHeight w:val="521"/>
        </w:trPr>
        <w:tc>
          <w:tcPr>
            <w:tcW w:w="686" w:type="dxa"/>
            <w:vAlign w:val="center"/>
          </w:tcPr>
          <w:p w14:paraId="21681114" w14:textId="77777777" w:rsidR="002819C7" w:rsidRPr="00F36850" w:rsidRDefault="002819C7" w:rsidP="00544FE2">
            <w:pPr>
              <w:spacing w:after="0"/>
              <w:jc w:val="center"/>
              <w:rPr>
                <w:color w:val="000000"/>
              </w:rPr>
            </w:pPr>
            <w:r w:rsidRPr="00F36850">
              <w:rPr>
                <w:color w:val="000000"/>
                <w:sz w:val="22"/>
              </w:rPr>
              <w:t>1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3063F001" w14:textId="516A06EE" w:rsidR="002819C7" w:rsidRPr="009E1BEE" w:rsidRDefault="002819C7" w:rsidP="00544FE2">
            <w:pPr>
              <w:pStyle w:val="a4"/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left="0" w:right="17" w:firstLine="0"/>
              <w:jc w:val="both"/>
              <w:rPr>
                <w:rFonts w:cs="Arial"/>
                <w:b w:val="0"/>
                <w:bCs w:val="0"/>
                <w:sz w:val="22"/>
                <w:szCs w:val="23"/>
              </w:rPr>
            </w:pPr>
            <w:r>
              <w:rPr>
                <w:rFonts w:cs="Arial"/>
                <w:b w:val="0"/>
                <w:bCs w:val="0"/>
                <w:sz w:val="22"/>
                <w:szCs w:val="23"/>
              </w:rPr>
              <w:t>Поставка программно-аппаратного комплекса</w:t>
            </w:r>
            <w:r w:rsidRPr="00937C55">
              <w:rPr>
                <w:rFonts w:cs="Arial"/>
                <w:b w:val="0"/>
                <w:bCs w:val="0"/>
                <w:sz w:val="22"/>
                <w:szCs w:val="23"/>
              </w:rPr>
              <w:t xml:space="preserve"> </w:t>
            </w:r>
            <w:proofErr w:type="spellStart"/>
            <w:r w:rsidR="009E1BEE" w:rsidRPr="009E1BEE">
              <w:rPr>
                <w:rFonts w:cs="Arial"/>
                <w:b w:val="0"/>
                <w:bCs w:val="0"/>
                <w:sz w:val="22"/>
                <w:szCs w:val="23"/>
              </w:rPr>
              <w:t>VipNet</w:t>
            </w:r>
            <w:proofErr w:type="spellEnd"/>
            <w:r w:rsidR="009E1BEE" w:rsidRPr="009E1BEE">
              <w:rPr>
                <w:rFonts w:cs="Arial"/>
                <w:b w:val="0"/>
                <w:bCs w:val="0"/>
                <w:sz w:val="22"/>
                <w:szCs w:val="23"/>
              </w:rPr>
              <w:t xml:space="preserve"> </w:t>
            </w:r>
            <w:proofErr w:type="spellStart"/>
            <w:r w:rsidR="009E1BEE" w:rsidRPr="009E1BEE">
              <w:rPr>
                <w:rFonts w:cs="Arial"/>
                <w:b w:val="0"/>
                <w:bCs w:val="0"/>
                <w:sz w:val="22"/>
                <w:szCs w:val="23"/>
              </w:rPr>
              <w:t>Coordinator</w:t>
            </w:r>
            <w:proofErr w:type="spellEnd"/>
            <w:r w:rsidR="009E1BEE" w:rsidRPr="009E1BEE">
              <w:rPr>
                <w:rFonts w:cs="Arial"/>
                <w:b w:val="0"/>
                <w:bCs w:val="0"/>
                <w:sz w:val="22"/>
                <w:szCs w:val="23"/>
              </w:rPr>
              <w:t xml:space="preserve"> HW10</w:t>
            </w:r>
            <w:r w:rsidR="00DE4E65">
              <w:rPr>
                <w:rFonts w:cs="Arial"/>
                <w:b w:val="0"/>
                <w:bCs w:val="0"/>
                <w:sz w:val="22"/>
                <w:szCs w:val="23"/>
              </w:rPr>
              <w:t xml:space="preserve"> </w:t>
            </w:r>
            <w:r w:rsidR="00DE4E65" w:rsidRPr="009E1BEE">
              <w:rPr>
                <w:color w:val="000000"/>
                <w:shd w:val="clear" w:color="auto" w:fill="FFFFFF"/>
              </w:rPr>
              <w:t>4.x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4FB11A3" w14:textId="77777777" w:rsidR="002819C7" w:rsidRPr="0000700A" w:rsidRDefault="002819C7" w:rsidP="00544FE2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14:paraId="2EE04154" w14:textId="4DD501B2" w:rsidR="002819C7" w:rsidRPr="009E1BEE" w:rsidRDefault="00DE4E65" w:rsidP="00544FE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</w:tbl>
    <w:p w14:paraId="5ED7167A" w14:textId="77777777" w:rsidR="002819C7" w:rsidRDefault="002819C7" w:rsidP="002819C7">
      <w:pPr>
        <w:jc w:val="right"/>
      </w:pPr>
    </w:p>
    <w:p w14:paraId="7C8624CD" w14:textId="5A4AF13B" w:rsidR="002819C7" w:rsidRPr="005128E6" w:rsidRDefault="002819C7" w:rsidP="002819C7">
      <w:pPr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Т</w:t>
      </w:r>
      <w:r w:rsidRPr="0000700A">
        <w:rPr>
          <w:b/>
          <w:bCs/>
        </w:rPr>
        <w:t xml:space="preserve">ехнические требования к программно-аппаратному комплексу (далее – ПАК) криптографической защиты информации (далее – </w:t>
      </w:r>
      <w:proofErr w:type="spellStart"/>
      <w:r w:rsidRPr="0000700A">
        <w:rPr>
          <w:b/>
          <w:bCs/>
        </w:rPr>
        <w:t>Криптошлюз</w:t>
      </w:r>
      <w:proofErr w:type="spellEnd"/>
      <w:r w:rsidRPr="0000700A">
        <w:rPr>
          <w:b/>
          <w:bCs/>
        </w:rPr>
        <w:t xml:space="preserve">) </w:t>
      </w:r>
      <w:proofErr w:type="spellStart"/>
      <w:r w:rsidRPr="0000700A">
        <w:rPr>
          <w:b/>
          <w:bCs/>
        </w:rPr>
        <w:t>ViPNet</w:t>
      </w:r>
      <w:proofErr w:type="spellEnd"/>
      <w:r w:rsidRPr="0000700A">
        <w:rPr>
          <w:b/>
          <w:bCs/>
        </w:rPr>
        <w:t xml:space="preserve"> </w:t>
      </w:r>
      <w:proofErr w:type="spellStart"/>
      <w:r w:rsidRPr="0000700A">
        <w:rPr>
          <w:b/>
          <w:bCs/>
        </w:rPr>
        <w:t>Coordinator</w:t>
      </w:r>
      <w:proofErr w:type="spellEnd"/>
      <w:r w:rsidRPr="0000700A">
        <w:rPr>
          <w:b/>
          <w:bCs/>
        </w:rPr>
        <w:t xml:space="preserve"> </w:t>
      </w:r>
      <w:r w:rsidR="009E1BEE" w:rsidRPr="009E1BEE">
        <w:rPr>
          <w:b/>
          <w:bCs/>
        </w:rPr>
        <w:t>HW10</w:t>
      </w:r>
      <w:r w:rsidR="00DE4E65">
        <w:rPr>
          <w:b/>
          <w:bCs/>
        </w:rPr>
        <w:t xml:space="preserve"> </w:t>
      </w:r>
      <w:r w:rsidR="009E1BEE" w:rsidRPr="009E1BEE">
        <w:rPr>
          <w:b/>
          <w:bCs/>
        </w:rPr>
        <w:t xml:space="preserve">C, </w:t>
      </w:r>
      <w:r w:rsidR="009E1BEE" w:rsidRPr="00DE4E65">
        <w:rPr>
          <w:b/>
          <w:bCs/>
        </w:rPr>
        <w:t>аппаратная платформа HW10</w:t>
      </w:r>
      <w:r w:rsidR="00DE4E65" w:rsidRPr="00DE4E65">
        <w:rPr>
          <w:b/>
          <w:bCs/>
        </w:rPr>
        <w:t xml:space="preserve"> </w:t>
      </w:r>
      <w:r w:rsidR="00DE4E65" w:rsidRPr="00DE4E65">
        <w:rPr>
          <w:b/>
          <w:bCs/>
          <w:lang w:val="en-US"/>
        </w:rPr>
        <w:t>F</w:t>
      </w:r>
      <w:r w:rsidR="009E1BEE" w:rsidRPr="00DE4E65">
        <w:rPr>
          <w:b/>
          <w:bCs/>
        </w:rPr>
        <w:t>1</w:t>
      </w:r>
      <w:r w:rsidRPr="00DE4E65">
        <w:rPr>
          <w:b/>
          <w:bCs/>
        </w:rPr>
        <w:t>.</w:t>
      </w:r>
    </w:p>
    <w:p w14:paraId="413ECE8C" w14:textId="77777777" w:rsidR="002819C7" w:rsidRDefault="002819C7" w:rsidP="002819C7">
      <w:r>
        <w:t>2.1</w:t>
      </w:r>
      <w:r>
        <w:tab/>
        <w:t>Функциональные требования</w:t>
      </w:r>
    </w:p>
    <w:p w14:paraId="2FD0E75A" w14:textId="77777777" w:rsidR="009E1BEE" w:rsidRPr="009828E6" w:rsidRDefault="009E1BEE" w:rsidP="009E1BEE">
      <w:pPr>
        <w:pStyle w:val="a6"/>
        <w:spacing w:line="240" w:lineRule="auto"/>
        <w:ind w:firstLine="0"/>
        <w:rPr>
          <w:rFonts w:cs="Times New Roman"/>
          <w:szCs w:val="24"/>
        </w:rPr>
      </w:pPr>
      <w:proofErr w:type="spellStart"/>
      <w:r w:rsidRPr="009828E6">
        <w:rPr>
          <w:rFonts w:cs="Times New Roman"/>
          <w:szCs w:val="24"/>
        </w:rPr>
        <w:t>Криптошлюз</w:t>
      </w:r>
      <w:proofErr w:type="spellEnd"/>
      <w:r>
        <w:rPr>
          <w:rFonts w:cs="Times New Roman"/>
          <w:szCs w:val="24"/>
        </w:rPr>
        <w:t xml:space="preserve"> </w:t>
      </w:r>
      <w:r w:rsidRPr="009828E6">
        <w:rPr>
          <w:rFonts w:cs="Times New Roman"/>
          <w:szCs w:val="24"/>
        </w:rPr>
        <w:t>должен</w:t>
      </w:r>
      <w:r w:rsidRPr="00C87D3C">
        <w:rPr>
          <w:rFonts w:cs="Times New Roman"/>
          <w:szCs w:val="24"/>
        </w:rPr>
        <w:t xml:space="preserve"> </w:t>
      </w:r>
      <w:r w:rsidRPr="009828E6">
        <w:rPr>
          <w:rFonts w:cs="Times New Roman"/>
          <w:szCs w:val="24"/>
        </w:rPr>
        <w:t>обеспечивать:</w:t>
      </w:r>
    </w:p>
    <w:p w14:paraId="7C482DFA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>возможность построения VPN-сети, позволяющей организовать одно или множество сетевых соединений (логическую сеть) поверх каналов связи сетей передачи данных, использующих протоколы семейства TCP/IP;</w:t>
      </w:r>
    </w:p>
    <w:p w14:paraId="7818B831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 xml:space="preserve">криптографическую защиту данных (шифрование, аутентификацию, защиту от повторов и изменений), передаваемых по каналам VPN; </w:t>
      </w:r>
    </w:p>
    <w:p w14:paraId="675F310D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>регистрацию информации о текущих IP-адресах и способах подключения к каналам связи узлов VPN-сети и ее распространение;</w:t>
      </w:r>
    </w:p>
    <w:p w14:paraId="49E9A64D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>установление каналов VPN между клиентами в защищенных сетях и удаленными клиентами VPN через межсетевые экраны и устройства с NAT;</w:t>
      </w:r>
    </w:p>
    <w:p w14:paraId="239DA500" w14:textId="77777777" w:rsidR="009E1BEE" w:rsidRPr="00DA3F72" w:rsidRDefault="009E1BEE" w:rsidP="009E1BEE">
      <w:pPr>
        <w:pStyle w:val="a"/>
        <w:spacing w:before="0" w:after="0" w:line="240" w:lineRule="auto"/>
      </w:pPr>
      <w:r w:rsidRPr="00DA3F72">
        <w:t xml:space="preserve">возможность подключения клиентов </w:t>
      </w:r>
      <w:r>
        <w:t>VPN</w:t>
      </w:r>
      <w:r w:rsidRPr="00DA3F72">
        <w:t xml:space="preserve"> по протокол</w:t>
      </w:r>
      <w:r>
        <w:t>у</w:t>
      </w:r>
      <w:r w:rsidRPr="00DA3F72">
        <w:t xml:space="preserve"> </w:t>
      </w:r>
      <w:r>
        <w:t>TCP</w:t>
      </w:r>
      <w:r w:rsidRPr="00DA3F72">
        <w:t xml:space="preserve"> при недоступности </w:t>
      </w:r>
      <w:r>
        <w:t>UDP</w:t>
      </w:r>
      <w:r w:rsidRPr="00DA3F72">
        <w:t>;</w:t>
      </w:r>
    </w:p>
    <w:p w14:paraId="71CFC059" w14:textId="77777777" w:rsidR="009E1BEE" w:rsidRPr="00CD1109" w:rsidRDefault="009E1BEE" w:rsidP="009E1BEE">
      <w:pPr>
        <w:pStyle w:val="a"/>
        <w:spacing w:before="0" w:after="0" w:line="240" w:lineRule="auto"/>
      </w:pPr>
      <w:r w:rsidRPr="00CD1109">
        <w:t>возможность организации в одном устройстве защищенного соединения как на сетевом, так и канальном уровне модели OSI;</w:t>
      </w:r>
    </w:p>
    <w:p w14:paraId="4A12FDE2" w14:textId="77777777" w:rsidR="009E1BEE" w:rsidRPr="00CD1109" w:rsidRDefault="009E1BEE" w:rsidP="009E1BEE">
      <w:pPr>
        <w:pStyle w:val="a"/>
        <w:spacing w:before="0" w:after="0" w:line="240" w:lineRule="auto"/>
      </w:pPr>
      <w:r w:rsidRPr="00CD1109">
        <w:t xml:space="preserve">динамическую маршрутизацию средствами протокола OSPF; </w:t>
      </w:r>
    </w:p>
    <w:p w14:paraId="55A2A223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>контроль и фильтрацию информационных потоков данных в соответствии с заданными правилами;</w:t>
      </w:r>
    </w:p>
    <w:p w14:paraId="5B330D27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>трансляцию сетевых адресов (SNAT/DNAT);</w:t>
      </w:r>
    </w:p>
    <w:p w14:paraId="508C7559" w14:textId="77777777" w:rsidR="009E1BEE" w:rsidRDefault="009E1BEE" w:rsidP="009E1BEE">
      <w:pPr>
        <w:pStyle w:val="a"/>
        <w:spacing w:before="0" w:after="0" w:line="240" w:lineRule="auto"/>
      </w:pPr>
      <w:r w:rsidRPr="009828E6">
        <w:t>обработку прикладных протоколов FTP, DNS, H.323, SCCP, SIP для всех видов трафика (защищенного, открытого и туннелируемого);</w:t>
      </w:r>
    </w:p>
    <w:p w14:paraId="377EAB8D" w14:textId="77777777" w:rsidR="009E1BEE" w:rsidRPr="009828E6" w:rsidRDefault="009E1BEE" w:rsidP="009E1BEE">
      <w:pPr>
        <w:pStyle w:val="a"/>
        <w:spacing w:before="0" w:after="0" w:line="240" w:lineRule="auto"/>
      </w:pPr>
      <w:proofErr w:type="spellStart"/>
      <w:r w:rsidRPr="002B36F1">
        <w:t>п</w:t>
      </w:r>
      <w:r>
        <w:t>роксирование</w:t>
      </w:r>
      <w:proofErr w:type="spellEnd"/>
      <w:r>
        <w:t xml:space="preserve"> и фильтрацию</w:t>
      </w:r>
      <w:r w:rsidRPr="002B36F1">
        <w:t xml:space="preserve"> HTTP-трафика по командам и мобильному коду; </w:t>
      </w:r>
    </w:p>
    <w:p w14:paraId="1188205C" w14:textId="77777777" w:rsidR="009E1BEE" w:rsidRDefault="009E1BEE" w:rsidP="009E1BEE">
      <w:pPr>
        <w:pStyle w:val="a"/>
        <w:spacing w:before="0" w:after="0" w:line="240" w:lineRule="auto"/>
      </w:pPr>
      <w:r w:rsidRPr="009828E6">
        <w:t>статическую маршрутизацию;</w:t>
      </w:r>
    </w:p>
    <w:p w14:paraId="2E4E1E9F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>предоставление DHCP-, DNS-, NTP-сервисов защищаемым сетевым объектам;</w:t>
      </w:r>
    </w:p>
    <w:p w14:paraId="05F99242" w14:textId="77777777" w:rsidR="009E1BEE" w:rsidRPr="009828E6" w:rsidRDefault="009E1BEE" w:rsidP="009E1BEE">
      <w:pPr>
        <w:pStyle w:val="a"/>
        <w:spacing w:before="0" w:after="0" w:line="240" w:lineRule="auto"/>
      </w:pPr>
      <w:r w:rsidRPr="00AB3E24">
        <w:t>возможность построения</w:t>
      </w:r>
      <w:r w:rsidRPr="009828E6">
        <w:t xml:space="preserve"> виртуальных локальных сетей (поддержка стандарта VLAN IEEE 802.1Q);</w:t>
      </w:r>
    </w:p>
    <w:p w14:paraId="526C8EF2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>возможность использования технологии агрегирования – объединения нескольких физических каналов передачи данных в сетях Ethernet в один логический;</w:t>
      </w:r>
    </w:p>
    <w:p w14:paraId="29B4B0C2" w14:textId="77777777" w:rsidR="009E1BEE" w:rsidRDefault="009E1BEE" w:rsidP="009E1BEE">
      <w:pPr>
        <w:pStyle w:val="a"/>
        <w:spacing w:before="0" w:after="0" w:line="240" w:lineRule="auto"/>
      </w:pPr>
      <w:r w:rsidRPr="009828E6">
        <w:t>реализацию политики качества обслуживания (</w:t>
      </w:r>
      <w:proofErr w:type="spellStart"/>
      <w:r w:rsidRPr="009828E6">
        <w:t>QoS</w:t>
      </w:r>
      <w:proofErr w:type="spellEnd"/>
      <w:r w:rsidRPr="009828E6">
        <w:t>) приоритетной обработки средствами сервиса дифференцированного обслуживания (</w:t>
      </w:r>
      <w:proofErr w:type="spellStart"/>
      <w:r w:rsidRPr="009828E6">
        <w:t>DiffServ</w:t>
      </w:r>
      <w:proofErr w:type="spellEnd"/>
      <w:r w:rsidRPr="009828E6">
        <w:t>);</w:t>
      </w:r>
    </w:p>
    <w:p w14:paraId="13EDC9F6" w14:textId="77777777" w:rsidR="009E1BEE" w:rsidRPr="00983DCD" w:rsidRDefault="009E1BEE" w:rsidP="009E1BEE">
      <w:pPr>
        <w:pStyle w:val="a"/>
        <w:spacing w:before="0" w:after="0" w:line="240" w:lineRule="auto"/>
      </w:pPr>
      <w:r>
        <w:t>э</w:t>
      </w:r>
      <w:r w:rsidRPr="00983DCD">
        <w:t>кспорт журнала регистрации IP-пакетов по сети в формате CEF</w:t>
      </w:r>
      <w:r>
        <w:t>;</w:t>
      </w:r>
    </w:p>
    <w:p w14:paraId="2469A0C9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 xml:space="preserve">балансировку нагрузки на вычислительную сеть и резервирование каналов доступа во внешнюю сеть средствами функции </w:t>
      </w:r>
      <w:proofErr w:type="spellStart"/>
      <w:r w:rsidRPr="009828E6">
        <w:t>MultiWAN</w:t>
      </w:r>
      <w:proofErr w:type="spellEnd"/>
      <w:r w:rsidRPr="009828E6">
        <w:t>, включающую в себя проверку состояния шлюзов и политики маршрутизации;</w:t>
      </w:r>
    </w:p>
    <w:p w14:paraId="0349FE43" w14:textId="77777777" w:rsidR="009E1BEE" w:rsidRDefault="009E1BEE" w:rsidP="009E1BEE">
      <w:pPr>
        <w:pStyle w:val="a"/>
        <w:spacing w:before="0" w:after="0" w:line="240" w:lineRule="auto"/>
      </w:pPr>
      <w:r w:rsidRPr="00AB3E24">
        <w:t>возможность</w:t>
      </w:r>
      <w:r>
        <w:t xml:space="preserve"> </w:t>
      </w:r>
      <w:r w:rsidRPr="00C23EBE">
        <w:t>антивирусной защиты HTTP-трафика при взаимодействии по протоколу ICAP с внешним</w:t>
      </w:r>
      <w:r>
        <w:t xml:space="preserve"> средством антивирусной защиты;</w:t>
      </w:r>
    </w:p>
    <w:p w14:paraId="48AC0F81" w14:textId="77777777" w:rsidR="009E1BEE" w:rsidRDefault="009E1BEE" w:rsidP="009E1BEE">
      <w:pPr>
        <w:pStyle w:val="a"/>
        <w:spacing w:before="0" w:after="0" w:line="240" w:lineRule="auto"/>
      </w:pPr>
      <w:r w:rsidRPr="00A64EB1">
        <w:lastRenderedPageBreak/>
        <w:t>возможность изменения значения MTU для сетевых интерфейсов;</w:t>
      </w:r>
    </w:p>
    <w:p w14:paraId="0BDBA66E" w14:textId="77777777" w:rsidR="009E1BEE" w:rsidRPr="00A64EB1" w:rsidRDefault="009E1BEE" w:rsidP="009E1BEE">
      <w:pPr>
        <w:pStyle w:val="a"/>
        <w:spacing w:before="0" w:after="0" w:line="240" w:lineRule="auto"/>
      </w:pPr>
      <w:r w:rsidRPr="00FD67F4">
        <w:t>взаимодействие с источником</w:t>
      </w:r>
      <w:r w:rsidRPr="009828E6">
        <w:t xml:space="preserve"> бесперебойного питания (UPS) для корректного завершения</w:t>
      </w:r>
      <w:r w:rsidRPr="00810F07">
        <w:t xml:space="preserve"> </w:t>
      </w:r>
      <w:r w:rsidRPr="002B36F1">
        <w:t>своей</w:t>
      </w:r>
      <w:r w:rsidRPr="009828E6">
        <w:t xml:space="preserve"> работы в случае получения сигнала об истощении батареи;</w:t>
      </w:r>
    </w:p>
    <w:p w14:paraId="048C76EC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>удаленное (защищенное) управление и мониторинг с помощью веб-интерфейса и SSH;</w:t>
      </w:r>
    </w:p>
    <w:p w14:paraId="1BBAEE9D" w14:textId="77777777" w:rsidR="009E1BEE" w:rsidRDefault="009E1BEE" w:rsidP="009E1BEE">
      <w:pPr>
        <w:pStyle w:val="a"/>
        <w:spacing w:before="0" w:after="0" w:line="240" w:lineRule="auto"/>
      </w:pPr>
      <w:r w:rsidRPr="009828E6">
        <w:t xml:space="preserve">сигнализацию о событиях по протоколам SNMP, </w:t>
      </w:r>
      <w:proofErr w:type="spellStart"/>
      <w:r w:rsidRPr="009828E6">
        <w:t>syslog</w:t>
      </w:r>
      <w:proofErr w:type="spellEnd"/>
      <w:r w:rsidRPr="009828E6">
        <w:t>;</w:t>
      </w:r>
    </w:p>
    <w:p w14:paraId="6D60BD52" w14:textId="77777777" w:rsidR="009E1BEE" w:rsidRPr="009828E6" w:rsidRDefault="009E1BEE" w:rsidP="009E1BEE">
      <w:pPr>
        <w:pStyle w:val="a"/>
        <w:spacing w:before="0" w:after="0" w:line="240" w:lineRule="auto"/>
      </w:pPr>
      <w:r w:rsidRPr="009828E6">
        <w:t xml:space="preserve">удаленное обновление </w:t>
      </w:r>
      <w:r>
        <w:t>собственного</w:t>
      </w:r>
      <w:r w:rsidRPr="00AB3E24">
        <w:t xml:space="preserve"> </w:t>
      </w:r>
      <w:r w:rsidRPr="009828E6">
        <w:t>программного обеспечения;</w:t>
      </w:r>
    </w:p>
    <w:p w14:paraId="334BED26" w14:textId="77777777" w:rsidR="009E1BEE" w:rsidRPr="00C87D3C" w:rsidRDefault="009E1BEE" w:rsidP="009E1BEE">
      <w:pPr>
        <w:pStyle w:val="a6"/>
        <w:numPr>
          <w:ilvl w:val="0"/>
          <w:numId w:val="4"/>
        </w:numPr>
        <w:spacing w:line="240" w:lineRule="auto"/>
        <w:ind w:left="709"/>
        <w:rPr>
          <w:rFonts w:cs="Times New Roman"/>
          <w:szCs w:val="24"/>
        </w:rPr>
      </w:pPr>
      <w:r w:rsidRPr="009828E6">
        <w:t>возможность кластеризации с целью обеспечения горячего резервирования.</w:t>
      </w:r>
    </w:p>
    <w:p w14:paraId="0CCA7319" w14:textId="77777777" w:rsidR="002819C7" w:rsidRDefault="002819C7" w:rsidP="002819C7">
      <w:r>
        <w:t>2.2</w:t>
      </w:r>
      <w:r>
        <w:tab/>
        <w:t>Требования к аппаратной части</w:t>
      </w:r>
    </w:p>
    <w:p w14:paraId="6C5A73C9" w14:textId="34399343" w:rsidR="009E1BEE" w:rsidRPr="003E788C" w:rsidRDefault="009E1BEE" w:rsidP="009E1BEE">
      <w:pPr>
        <w:spacing w:after="0"/>
        <w:rPr>
          <w:rFonts w:eastAsia="Calibri"/>
          <w:b/>
          <w:bCs/>
          <w:szCs w:val="27"/>
        </w:rPr>
      </w:pPr>
      <w:proofErr w:type="spellStart"/>
      <w:r w:rsidRPr="003E788C">
        <w:rPr>
          <w:rFonts w:eastAsia="Calibri"/>
          <w:bCs/>
          <w:szCs w:val="27"/>
        </w:rPr>
        <w:t>Криптошлюз</w:t>
      </w:r>
      <w:proofErr w:type="spellEnd"/>
      <w:r w:rsidRPr="003E788C">
        <w:rPr>
          <w:rFonts w:eastAsia="Calibri"/>
          <w:bCs/>
          <w:szCs w:val="27"/>
        </w:rPr>
        <w:t xml:space="preserve"> должен удовлетворять следующим требованиям:</w:t>
      </w:r>
    </w:p>
    <w:p w14:paraId="6518E70B" w14:textId="77777777" w:rsidR="009E1BEE" w:rsidRDefault="009E1BEE" w:rsidP="009E1BEE">
      <w:pPr>
        <w:pStyle w:val="a"/>
        <w:spacing w:before="0" w:after="0" w:line="240" w:lineRule="auto"/>
      </w:pPr>
      <w:r w:rsidRPr="003E788C">
        <w:t xml:space="preserve">форм-фактор: </w:t>
      </w:r>
      <w:r>
        <w:t>мини-компьютер</w:t>
      </w:r>
      <w:r w:rsidRPr="003E788C">
        <w:t>;</w:t>
      </w:r>
    </w:p>
    <w:p w14:paraId="0764891C" w14:textId="5AB014E8" w:rsidR="009E1BEE" w:rsidRDefault="009E1BEE" w:rsidP="009E1BEE">
      <w:pPr>
        <w:pStyle w:val="a"/>
        <w:spacing w:before="0" w:after="0" w:line="240" w:lineRule="auto"/>
      </w:pPr>
      <w:r>
        <w:t>н</w:t>
      </w:r>
      <w:r w:rsidRPr="00102EFD">
        <w:t xml:space="preserve">аличие не менее </w:t>
      </w:r>
      <w:r w:rsidR="00DE4E65" w:rsidRPr="00DE4E65">
        <w:t>1</w:t>
      </w:r>
      <w:r>
        <w:t xml:space="preserve"> (</w:t>
      </w:r>
      <w:r w:rsidR="00DE4E65">
        <w:t>одного</w:t>
      </w:r>
      <w:r>
        <w:t>)</w:t>
      </w:r>
      <w:r w:rsidRPr="00102EFD">
        <w:t xml:space="preserve"> </w:t>
      </w:r>
      <w:r w:rsidRPr="009B5F1A">
        <w:t>сетев</w:t>
      </w:r>
      <w:r w:rsidR="00DE4E65">
        <w:t>ого</w:t>
      </w:r>
      <w:r w:rsidRPr="009B5F1A">
        <w:t xml:space="preserve"> интерфейс</w:t>
      </w:r>
      <w:r w:rsidR="00DE4E65">
        <w:t>а</w:t>
      </w:r>
      <w:r w:rsidRPr="009B5F1A">
        <w:t xml:space="preserve"> </w:t>
      </w:r>
      <w:r w:rsidRPr="00A33152">
        <w:t xml:space="preserve">Ethernet </w:t>
      </w:r>
      <w:r w:rsidRPr="00FA28E3">
        <w:t>RJ45</w:t>
      </w:r>
      <w:r w:rsidRPr="00A33152">
        <w:t xml:space="preserve"> </w:t>
      </w:r>
      <w:r>
        <w:t>1</w:t>
      </w:r>
      <w:r w:rsidRPr="00FA28E3">
        <w:t xml:space="preserve"> </w:t>
      </w:r>
      <w:r>
        <w:t>Г</w:t>
      </w:r>
      <w:r w:rsidRPr="00FA28E3">
        <w:t>бит/с</w:t>
      </w:r>
      <w:r>
        <w:t>;</w:t>
      </w:r>
    </w:p>
    <w:p w14:paraId="36ECB12B" w14:textId="085B4FFD" w:rsidR="009E1BEE" w:rsidRDefault="009E1BEE" w:rsidP="009E1BEE">
      <w:pPr>
        <w:pStyle w:val="a"/>
        <w:spacing w:before="0" w:after="0" w:line="240" w:lineRule="auto"/>
      </w:pPr>
      <w:r w:rsidRPr="009B5F1A">
        <w:t xml:space="preserve">наличие не менее </w:t>
      </w:r>
      <w:r w:rsidR="00DE4E65">
        <w:t>2</w:t>
      </w:r>
      <w:r>
        <w:t xml:space="preserve"> (</w:t>
      </w:r>
      <w:r w:rsidR="00DE4E65">
        <w:t>двух</w:t>
      </w:r>
      <w:r>
        <w:t>)</w:t>
      </w:r>
      <w:r w:rsidRPr="009B5F1A">
        <w:t xml:space="preserve"> сетев</w:t>
      </w:r>
      <w:r w:rsidR="00DE4E65">
        <w:t>ых</w:t>
      </w:r>
      <w:r w:rsidRPr="009B5F1A">
        <w:t xml:space="preserve"> инте</w:t>
      </w:r>
      <w:r>
        <w:t>рфейс</w:t>
      </w:r>
      <w:r w:rsidR="00DE4E65">
        <w:t>ов</w:t>
      </w:r>
      <w:r>
        <w:t xml:space="preserve"> </w:t>
      </w:r>
      <w:r w:rsidRPr="00A33152">
        <w:t xml:space="preserve">Ethernet </w:t>
      </w:r>
      <w:r w:rsidR="00DE4E65" w:rsidRPr="00FA28E3">
        <w:t>RJ45</w:t>
      </w:r>
      <w:r w:rsidR="00DE4E65">
        <w:t xml:space="preserve"> </w:t>
      </w:r>
      <w:r w:rsidR="00DE4E65" w:rsidRPr="00DE4E65">
        <w:t>2,5</w:t>
      </w:r>
      <w:r>
        <w:t xml:space="preserve"> Гбит/с</w:t>
      </w:r>
      <w:r w:rsidRPr="00A14241">
        <w:t>.</w:t>
      </w:r>
    </w:p>
    <w:p w14:paraId="5FCAFFED" w14:textId="77777777" w:rsidR="002819C7" w:rsidRDefault="002819C7" w:rsidP="002819C7">
      <w:r>
        <w:t>2.3</w:t>
      </w:r>
      <w:r>
        <w:tab/>
        <w:t>Требования к производительности</w:t>
      </w:r>
    </w:p>
    <w:p w14:paraId="72A4379E" w14:textId="07C9F775" w:rsidR="009E1BEE" w:rsidRPr="009E1BEE" w:rsidRDefault="009E1BEE" w:rsidP="009E1BEE">
      <w:pPr>
        <w:spacing w:after="0"/>
        <w:rPr>
          <w:rFonts w:eastAsia="Calibri"/>
          <w:bCs/>
          <w:szCs w:val="27"/>
        </w:rPr>
      </w:pPr>
      <w:proofErr w:type="spellStart"/>
      <w:r w:rsidRPr="009E1BEE">
        <w:rPr>
          <w:rFonts w:eastAsia="Calibri"/>
          <w:bCs/>
          <w:szCs w:val="27"/>
        </w:rPr>
        <w:t>Криптошлюз</w:t>
      </w:r>
      <w:proofErr w:type="spellEnd"/>
      <w:r w:rsidRPr="009E1BEE">
        <w:rPr>
          <w:rFonts w:eastAsia="Calibri"/>
          <w:bCs/>
          <w:szCs w:val="27"/>
        </w:rPr>
        <w:t xml:space="preserve"> должен обеспечивать следующие показатели производительности:</w:t>
      </w:r>
    </w:p>
    <w:p w14:paraId="20F6AC93" w14:textId="69442478" w:rsidR="009E1BEE" w:rsidRDefault="009E1BEE" w:rsidP="009E1BEE">
      <w:pPr>
        <w:pStyle w:val="a"/>
        <w:spacing w:before="0" w:after="0" w:line="240" w:lineRule="auto"/>
      </w:pPr>
      <w:r>
        <w:t>п</w:t>
      </w:r>
      <w:r w:rsidRPr="00865E2E">
        <w:t>ропускная способность</w:t>
      </w:r>
      <w:r>
        <w:t xml:space="preserve"> </w:t>
      </w:r>
      <w:r w:rsidRPr="00865E2E">
        <w:t>L3 VPN</w:t>
      </w:r>
      <w:r>
        <w:t xml:space="preserve"> – до </w:t>
      </w:r>
      <w:r w:rsidR="00DE4E65" w:rsidRPr="00DE4E65">
        <w:t>35</w:t>
      </w:r>
      <w:r>
        <w:t> </w:t>
      </w:r>
      <w:r w:rsidRPr="00865E2E">
        <w:t>Мбит/с</w:t>
      </w:r>
      <w:r>
        <w:t>;</w:t>
      </w:r>
    </w:p>
    <w:p w14:paraId="73728BFD" w14:textId="1C276CB0" w:rsidR="009E1BEE" w:rsidRDefault="009E1BEE" w:rsidP="009E1BEE">
      <w:pPr>
        <w:pStyle w:val="a"/>
        <w:spacing w:before="0" w:after="0" w:line="240" w:lineRule="auto"/>
      </w:pPr>
      <w:r>
        <w:t>п</w:t>
      </w:r>
      <w:r w:rsidRPr="00865E2E">
        <w:t>ропускная способность</w:t>
      </w:r>
      <w:r>
        <w:t xml:space="preserve"> межсетевого экранирования – до </w:t>
      </w:r>
      <w:r w:rsidR="00DE4E65" w:rsidRPr="00DE4E65">
        <w:t>200</w:t>
      </w:r>
      <w:r>
        <w:t> </w:t>
      </w:r>
      <w:r w:rsidRPr="00865E2E">
        <w:t>Мбит/с</w:t>
      </w:r>
      <w:r>
        <w:t>.</w:t>
      </w:r>
    </w:p>
    <w:p w14:paraId="7A0E89C2" w14:textId="77777777" w:rsidR="002819C7" w:rsidRDefault="002819C7" w:rsidP="002819C7">
      <w:r>
        <w:t>2.4</w:t>
      </w:r>
      <w:r>
        <w:tab/>
        <w:t>Требования к сертификации</w:t>
      </w:r>
    </w:p>
    <w:p w14:paraId="1AC7C62D" w14:textId="77777777" w:rsidR="002819C7" w:rsidRDefault="002819C7" w:rsidP="002819C7">
      <w:proofErr w:type="spellStart"/>
      <w:r>
        <w:t>Криптошлюз</w:t>
      </w:r>
      <w:proofErr w:type="spellEnd"/>
      <w:r>
        <w:t xml:space="preserve"> должен соответствовать:</w:t>
      </w:r>
    </w:p>
    <w:p w14:paraId="599B2D86" w14:textId="77777777" w:rsidR="009E1BEE" w:rsidRDefault="009E1BEE" w:rsidP="009E1BEE">
      <w:pPr>
        <w:pStyle w:val="a"/>
        <w:numPr>
          <w:ilvl w:val="0"/>
          <w:numId w:val="7"/>
        </w:numPr>
        <w:spacing w:before="0" w:after="0" w:line="240" w:lineRule="auto"/>
      </w:pPr>
      <w:r w:rsidRPr="009828E6">
        <w:t>требованиям ФСБ России</w:t>
      </w:r>
      <w:r>
        <w:t xml:space="preserve"> к средствам криптографической защиты информации, предназначенным для защиты информации, не содержащей сведений, составляющих государственную тайну, класса КС3</w:t>
      </w:r>
      <w:r w:rsidRPr="009828E6">
        <w:t>;</w:t>
      </w:r>
    </w:p>
    <w:p w14:paraId="312E57B4" w14:textId="77777777" w:rsidR="009E1BEE" w:rsidRPr="00D02A1C" w:rsidRDefault="009E1BEE" w:rsidP="009E1BEE">
      <w:pPr>
        <w:pStyle w:val="a"/>
        <w:numPr>
          <w:ilvl w:val="0"/>
          <w:numId w:val="7"/>
        </w:numPr>
        <w:spacing w:before="0" w:after="0" w:line="240" w:lineRule="auto"/>
      </w:pPr>
      <w:r w:rsidRPr="00B5521B">
        <w:t>требованиям документов</w:t>
      </w:r>
      <w:r w:rsidRPr="005F0FA7">
        <w:t xml:space="preserve"> </w:t>
      </w:r>
      <w:r>
        <w:t>«</w:t>
      </w:r>
      <w:r w:rsidRPr="00B5521B">
        <w:t>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</w:t>
      </w:r>
      <w:r>
        <w:t>»</w:t>
      </w:r>
      <w:r w:rsidRPr="00B5521B">
        <w:t xml:space="preserve"> (ФСТЭК России, </w:t>
      </w:r>
      <w:r>
        <w:t>2020</w:t>
      </w:r>
      <w:r w:rsidRPr="00B5521B">
        <w:t xml:space="preserve">) </w:t>
      </w:r>
      <w:r w:rsidRPr="00C54065">
        <w:t>- по</w:t>
      </w:r>
      <w:r>
        <w:t xml:space="preserve"> 4 уровню доверия,</w:t>
      </w:r>
      <w:r w:rsidRPr="005F0FA7">
        <w:t xml:space="preserve"> </w:t>
      </w:r>
      <w:r>
        <w:t>«</w:t>
      </w:r>
      <w:r w:rsidRPr="00B5521B">
        <w:t xml:space="preserve">Требования </w:t>
      </w:r>
      <w:r>
        <w:t>к межсетевым экранам» (ФСТЭК России, 2016),</w:t>
      </w:r>
      <w:r w:rsidRPr="005F0FA7">
        <w:t xml:space="preserve"> </w:t>
      </w:r>
      <w:r>
        <w:t>«</w:t>
      </w:r>
      <w:r w:rsidRPr="002F3158">
        <w:t>Профил</w:t>
      </w:r>
      <w:r>
        <w:t>ь</w:t>
      </w:r>
      <w:r w:rsidRPr="002F3158">
        <w:t xml:space="preserve"> защиты межсетевых экранов типа «А» четвертого класса защиты. ИТ.МЭ.А4.ПЗ</w:t>
      </w:r>
      <w:r>
        <w:t>»</w:t>
      </w:r>
      <w:r w:rsidRPr="002F3158">
        <w:t xml:space="preserve"> (ФСТЭК России, 2016)</w:t>
      </w:r>
      <w:r>
        <w:t>,</w:t>
      </w:r>
      <w:r w:rsidRPr="005F0FA7">
        <w:t xml:space="preserve"> </w:t>
      </w:r>
      <w:r>
        <w:t>«</w:t>
      </w:r>
      <w:r w:rsidRPr="002F3158">
        <w:t>Профил</w:t>
      </w:r>
      <w:r>
        <w:t>ь</w:t>
      </w:r>
      <w:r w:rsidRPr="002F3158">
        <w:t xml:space="preserve"> защиты межсетевых экранов типа «Б» четвертого класса защиты. ИТ.МЭ.Б4.ПЗ» (ФСТЭК России, 2016)</w:t>
      </w:r>
      <w:r>
        <w:t>.</w:t>
      </w:r>
    </w:p>
    <w:p w14:paraId="424A6F20" w14:textId="77777777" w:rsidR="009E1BEE" w:rsidRDefault="009E1BEE" w:rsidP="002819C7">
      <w:pPr>
        <w:rPr>
          <w:b/>
          <w:bCs/>
        </w:rPr>
      </w:pPr>
    </w:p>
    <w:p w14:paraId="48E2DEF0" w14:textId="59290A82" w:rsidR="002819C7" w:rsidRDefault="002819C7" w:rsidP="009E1BEE">
      <w:r>
        <w:t xml:space="preserve">Для </w:t>
      </w:r>
      <w:r w:rsidR="009E1BEE">
        <w:t>поставки</w:t>
      </w:r>
      <w:r>
        <w:t xml:space="preserve"> необходимо </w:t>
      </w:r>
      <w:r w:rsidRPr="00201B77">
        <w:rPr>
          <w:b/>
        </w:rPr>
        <w:t>наличие у Исполнителя действующей лицензии</w:t>
      </w:r>
      <w:r>
        <w:t xml:space="preserve"> на разработку,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</w:t>
      </w:r>
      <w:r w:rsidR="009E1BEE">
        <w:t>.</w:t>
      </w:r>
    </w:p>
    <w:p w14:paraId="428F6DCF" w14:textId="77777777" w:rsidR="002819C7" w:rsidRDefault="002819C7" w:rsidP="002819C7">
      <w:r>
        <w:t xml:space="preserve">Основанием требования наличия лицензий является: п. 1, ч.1, ст. 12 Федерального закона от 04.05.2011 № 99-ФЗ «О лицензировании отдельных видов деятельности», Постановление Правительства РФ от 16.04.2012 N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</w:t>
      </w:r>
      <w:r>
        <w:lastRenderedPageBreak/>
        <w:t>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предпринимателя)».</w:t>
      </w:r>
    </w:p>
    <w:p w14:paraId="56547DB0" w14:textId="77777777" w:rsidR="00CF72CA" w:rsidRDefault="00CF72CA"/>
    <w:sectPr w:rsidR="00CF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00D"/>
    <w:multiLevelType w:val="multilevel"/>
    <w:tmpl w:val="7E8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D80ACB"/>
    <w:multiLevelType w:val="hybridMultilevel"/>
    <w:tmpl w:val="7DE8C3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5B1532F"/>
    <w:multiLevelType w:val="hybridMultilevel"/>
    <w:tmpl w:val="B930DF6A"/>
    <w:lvl w:ilvl="0" w:tplc="526EC418">
      <w:start w:val="1"/>
      <w:numFmt w:val="bullet"/>
      <w:pStyle w:val="0"/>
      <w:lvlText w:val="–"/>
      <w:lvlJc w:val="left"/>
      <w:pPr>
        <w:ind w:left="78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3CEA86A">
      <w:start w:val="1"/>
      <w:numFmt w:val="bullet"/>
      <w:pStyle w:val="00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AF5E22"/>
    <w:multiLevelType w:val="multilevel"/>
    <w:tmpl w:val="0B9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65368E5"/>
    <w:multiLevelType w:val="hybridMultilevel"/>
    <w:tmpl w:val="749E6A72"/>
    <w:lvl w:ilvl="0" w:tplc="228A6BD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9164FB"/>
    <w:multiLevelType w:val="multilevel"/>
    <w:tmpl w:val="0B9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F260CBC"/>
    <w:multiLevelType w:val="multilevel"/>
    <w:tmpl w:val="7E8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58866AD"/>
    <w:multiLevelType w:val="multilevel"/>
    <w:tmpl w:val="0B9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9495B69"/>
    <w:multiLevelType w:val="hybridMultilevel"/>
    <w:tmpl w:val="20E8C8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42"/>
    <w:rsid w:val="00062BC1"/>
    <w:rsid w:val="002819C7"/>
    <w:rsid w:val="00333EE0"/>
    <w:rsid w:val="00663742"/>
    <w:rsid w:val="009E1BEE"/>
    <w:rsid w:val="00CF72CA"/>
    <w:rsid w:val="00D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D86C"/>
  <w15:chartTrackingRefBased/>
  <w15:docId w15:val="{42378589-F9BD-49AA-89F0-98E29EB1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19C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2819C7"/>
    <w:pPr>
      <w:spacing w:after="0"/>
      <w:ind w:left="4956" w:right="1620" w:firstLine="708"/>
      <w:jc w:val="center"/>
    </w:pPr>
    <w:rPr>
      <w:b/>
      <w:bCs/>
    </w:rPr>
  </w:style>
  <w:style w:type="paragraph" w:styleId="a5">
    <w:name w:val="List Paragraph"/>
    <w:basedOn w:val="a0"/>
    <w:uiPriority w:val="34"/>
    <w:qFormat/>
    <w:rsid w:val="00062BC1"/>
    <w:pPr>
      <w:ind w:left="720"/>
      <w:contextualSpacing/>
    </w:pPr>
  </w:style>
  <w:style w:type="paragraph" w:styleId="a6">
    <w:name w:val="Body Text Indent"/>
    <w:basedOn w:val="a0"/>
    <w:link w:val="a7"/>
    <w:qFormat/>
    <w:rsid w:val="009E1BEE"/>
    <w:pPr>
      <w:spacing w:after="0" w:line="300" w:lineRule="auto"/>
      <w:ind w:firstLine="567"/>
    </w:pPr>
    <w:rPr>
      <w:rFonts w:eastAsiaTheme="minorHAnsi" w:cstheme="minorBidi"/>
      <w:szCs w:val="22"/>
      <w:lang w:eastAsia="en-US"/>
    </w:rPr>
  </w:style>
  <w:style w:type="character" w:customStyle="1" w:styleId="a7">
    <w:name w:val="Основной текст с отступом Знак"/>
    <w:basedOn w:val="a1"/>
    <w:link w:val="a6"/>
    <w:rsid w:val="009E1BEE"/>
    <w:rPr>
      <w:rFonts w:ascii="Times New Roman" w:hAnsi="Times New Roman"/>
      <w:sz w:val="24"/>
    </w:rPr>
  </w:style>
  <w:style w:type="paragraph" w:customStyle="1" w:styleId="a">
    <w:name w:val="Первый уровень списка"/>
    <w:basedOn w:val="a0"/>
    <w:link w:val="a8"/>
    <w:autoRedefine/>
    <w:rsid w:val="009E1BEE"/>
    <w:pPr>
      <w:numPr>
        <w:numId w:val="4"/>
      </w:numPr>
      <w:spacing w:before="60" w:line="360" w:lineRule="auto"/>
      <w:ind w:left="709"/>
    </w:pPr>
    <w:rPr>
      <w:bCs/>
      <w:color w:val="000000"/>
      <w:spacing w:val="-1"/>
    </w:rPr>
  </w:style>
  <w:style w:type="character" w:customStyle="1" w:styleId="a8">
    <w:name w:val="Первый уровень списка Знак"/>
    <w:basedOn w:val="a1"/>
    <w:link w:val="a"/>
    <w:rsid w:val="009E1BEE"/>
    <w:rPr>
      <w:rFonts w:ascii="Times New Roman" w:eastAsia="Times New Roman" w:hAnsi="Times New Roman" w:cs="Times New Roman"/>
      <w:bCs/>
      <w:color w:val="000000"/>
      <w:spacing w:val="-1"/>
      <w:sz w:val="24"/>
      <w:szCs w:val="24"/>
      <w:lang w:eastAsia="ru-RU"/>
    </w:rPr>
  </w:style>
  <w:style w:type="paragraph" w:customStyle="1" w:styleId="0">
    <w:name w:val="ТЗ0 Марк тире"/>
    <w:basedOn w:val="a0"/>
    <w:qFormat/>
    <w:rsid w:val="009E1BEE"/>
    <w:pPr>
      <w:numPr>
        <w:numId w:val="5"/>
      </w:numPr>
      <w:tabs>
        <w:tab w:val="left" w:pos="1134"/>
      </w:tabs>
      <w:spacing w:before="60" w:line="360" w:lineRule="auto"/>
    </w:pPr>
    <w:rPr>
      <w:bCs/>
      <w:spacing w:val="-1"/>
      <w:sz w:val="22"/>
      <w:lang w:val="en-US"/>
    </w:rPr>
  </w:style>
  <w:style w:type="paragraph" w:customStyle="1" w:styleId="00">
    <w:name w:val="ТЗ0 Марк тире (сдвиг)"/>
    <w:basedOn w:val="a0"/>
    <w:next w:val="0"/>
    <w:autoRedefine/>
    <w:rsid w:val="009E1BEE"/>
    <w:pPr>
      <w:numPr>
        <w:ilvl w:val="1"/>
        <w:numId w:val="5"/>
      </w:numPr>
      <w:spacing w:after="200" w:line="276" w:lineRule="auto"/>
      <w:jc w:val="left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2024-02-20T02:24:00Z</dcterms:created>
  <dcterms:modified xsi:type="dcterms:W3CDTF">2025-04-29T14:40:00Z</dcterms:modified>
</cp:coreProperties>
</file>