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DB1980" w:rsidRDefault="0010084B" w:rsidP="001E2094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Закупка №</w:t>
      </w:r>
      <w:r w:rsidR="001D0AD3" w:rsidRPr="00DB1980">
        <w:rPr>
          <w:b/>
          <w:sz w:val="28"/>
          <w:szCs w:val="28"/>
        </w:rPr>
        <w:t xml:space="preserve"> </w:t>
      </w:r>
      <w:r w:rsidR="00B55A06" w:rsidRPr="00DB1980">
        <w:rPr>
          <w:b/>
          <w:sz w:val="28"/>
          <w:szCs w:val="28"/>
        </w:rPr>
        <w:t>2</w:t>
      </w:r>
      <w:r w:rsidR="002B3DEC">
        <w:rPr>
          <w:b/>
          <w:sz w:val="28"/>
          <w:szCs w:val="28"/>
        </w:rPr>
        <w:t>5120109</w:t>
      </w:r>
      <w:r w:rsidR="0054682C">
        <w:rPr>
          <w:b/>
          <w:sz w:val="28"/>
          <w:szCs w:val="28"/>
        </w:rPr>
        <w:t>256</w:t>
      </w:r>
    </w:p>
    <w:p w:rsidR="00446F84" w:rsidRPr="001E2094" w:rsidRDefault="00FF18B4" w:rsidP="001E2094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Техническо</w:t>
      </w:r>
      <w:r w:rsidR="00CD79EC" w:rsidRPr="00DB1980">
        <w:rPr>
          <w:b/>
          <w:sz w:val="28"/>
          <w:szCs w:val="28"/>
        </w:rPr>
        <w:t xml:space="preserve">е </w:t>
      </w:r>
      <w:r w:rsidR="000C3761">
        <w:rPr>
          <w:b/>
          <w:sz w:val="28"/>
          <w:szCs w:val="28"/>
        </w:rPr>
        <w:t>задание</w:t>
      </w:r>
    </w:p>
    <w:tbl>
      <w:tblPr>
        <w:tblStyle w:val="ac"/>
        <w:tblW w:w="9668" w:type="dxa"/>
        <w:tblInd w:w="108" w:type="dxa"/>
        <w:tblLook w:val="04A0" w:firstRow="1" w:lastRow="0" w:firstColumn="1" w:lastColumn="0" w:noHBand="0" w:noVBand="1"/>
      </w:tblPr>
      <w:tblGrid>
        <w:gridCol w:w="534"/>
        <w:gridCol w:w="1905"/>
        <w:gridCol w:w="7229"/>
      </w:tblGrid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Наименование (работ/услуг)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Технические характеристики товара</w:t>
            </w:r>
          </w:p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(работ/услуг)</w:t>
            </w:r>
          </w:p>
        </w:tc>
      </w:tr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jc w:val="both"/>
              <w:rPr>
                <w:rFonts w:eastAsia="Calibri"/>
                <w:sz w:val="20"/>
                <w:szCs w:val="20"/>
              </w:rPr>
            </w:pPr>
            <w:r w:rsidRPr="00ED4D4A">
              <w:rPr>
                <w:rFonts w:eastAsia="Calibri"/>
                <w:sz w:val="20"/>
                <w:szCs w:val="20"/>
              </w:rPr>
              <w:t xml:space="preserve">Техническое обслуживание </w:t>
            </w:r>
            <w:r w:rsidRPr="0085788F">
              <w:rPr>
                <w:rFonts w:eastAsia="Calibri"/>
                <w:sz w:val="20"/>
                <w:szCs w:val="20"/>
              </w:rPr>
              <w:t xml:space="preserve">системы охранной сигнализации </w:t>
            </w:r>
            <w:r w:rsidRPr="00ED4D4A">
              <w:rPr>
                <w:rFonts w:eastAsia="Calibri"/>
                <w:sz w:val="20"/>
                <w:szCs w:val="20"/>
              </w:rPr>
              <w:t>на объект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ED4D4A">
              <w:rPr>
                <w:rFonts w:eastAsia="Calibri"/>
                <w:sz w:val="20"/>
                <w:szCs w:val="20"/>
              </w:rPr>
              <w:t xml:space="preserve"> ЧУЗ «КБ «РЖД – Медицина» г. Чита» </w:t>
            </w:r>
            <w:r>
              <w:rPr>
                <w:rFonts w:eastAsia="Calibri"/>
                <w:sz w:val="20"/>
                <w:szCs w:val="20"/>
              </w:rPr>
              <w:t xml:space="preserve">поликлиника на ст. Чернышевск-Забайкальский </w:t>
            </w:r>
            <w:r w:rsidRPr="0085788F">
              <w:rPr>
                <w:rFonts w:eastAsia="Calibri"/>
                <w:sz w:val="20"/>
                <w:szCs w:val="20"/>
              </w:rPr>
              <w:t xml:space="preserve">по адресу: </w:t>
            </w:r>
            <w:r>
              <w:rPr>
                <w:rFonts w:eastAsia="Calibri"/>
                <w:sz w:val="20"/>
                <w:szCs w:val="20"/>
              </w:rPr>
              <w:t xml:space="preserve">Забайкальский край, </w:t>
            </w:r>
            <w:r w:rsidRPr="0085788F">
              <w:rPr>
                <w:rFonts w:eastAsia="Calibri"/>
                <w:sz w:val="20"/>
                <w:szCs w:val="20"/>
              </w:rPr>
              <w:t>пгт. Чернышевск, ул. Калинина, 32, корп. 1</w:t>
            </w:r>
            <w:bookmarkStart w:id="0" w:name="_GoBack"/>
            <w:bookmarkEnd w:id="0"/>
          </w:p>
        </w:tc>
      </w:tr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Место оказания услуг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Забайкальский край, </w:t>
            </w:r>
            <w:r w:rsidRPr="0085788F">
              <w:rPr>
                <w:rFonts w:eastAsia="Calibri"/>
                <w:sz w:val="20"/>
                <w:szCs w:val="20"/>
              </w:rPr>
              <w:t>пгт. Чернышевск, ул. Калинина, 32, корп. 1</w:t>
            </w:r>
          </w:p>
        </w:tc>
      </w:tr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1134"/>
                <w:tab w:val="left" w:pos="3525"/>
                <w:tab w:val="left" w:pos="4294"/>
              </w:tabs>
              <w:spacing w:line="240" w:lineRule="atLeast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 xml:space="preserve">Сроки оказания услуг 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jc w:val="both"/>
              <w:rPr>
                <w:rFonts w:eastAsia="Calibri"/>
                <w:b/>
                <w:sz w:val="20"/>
                <w:szCs w:val="20"/>
              </w:rPr>
            </w:pPr>
            <w:r w:rsidRPr="00086C73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</w:rPr>
              <w:t>5</w:t>
            </w:r>
            <w:r w:rsidRPr="00086C73">
              <w:rPr>
                <w:sz w:val="20"/>
                <w:szCs w:val="20"/>
              </w:rPr>
              <w:t>.2025г. по 31.12.2025г.</w:t>
            </w:r>
          </w:p>
        </w:tc>
      </w:tr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Цели и основания оказания услуг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ind w:firstLine="209"/>
              <w:jc w:val="both"/>
              <w:rPr>
                <w:sz w:val="20"/>
                <w:szCs w:val="20"/>
              </w:rPr>
            </w:pPr>
            <w:r w:rsidRPr="00ED4D4A">
              <w:rPr>
                <w:rFonts w:eastAsia="Calibri"/>
                <w:sz w:val="20"/>
                <w:szCs w:val="20"/>
              </w:rPr>
              <w:t xml:space="preserve">Техническое обслуживание </w:t>
            </w:r>
            <w:r w:rsidRPr="0085788F">
              <w:rPr>
                <w:rFonts w:eastAsia="Calibri"/>
                <w:sz w:val="20"/>
                <w:szCs w:val="20"/>
              </w:rPr>
              <w:t xml:space="preserve">системы охранной сигнализации </w:t>
            </w:r>
            <w:r w:rsidRPr="00ED4D4A">
              <w:rPr>
                <w:sz w:val="20"/>
                <w:szCs w:val="20"/>
              </w:rPr>
              <w:t>с целью поддержания работоспособного состояния установок в процессе эксплуатации путем периодического проведения работ по профилактике, контролю технического состояния и устранения неисправностей, определенных эксплуатационной документацией и типовыми технологическими процессами и включает в себя: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профилактические работы для предупреждения неисправностей оборудования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проверку исправности кабельных трасс, соединений, подвижных механизмов, питающих блоков,  и пр.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профилактическое обслуживание оборудования, устранение загрязнений, адаптация системы под изменившиеся условия эксплуатации, профилактика программных комплексов, чистка архивов, смена паролей и пр.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осуществление плановых регламентных работ, необходимых для содержания установок (систем) в исправном рабочем состоянии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устранение неисправностей по вызову Заказчика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оказание помощи Заказчику в вопросах, касающихся эксплуатации установок (систем) - составление инструкций по эксплуатации установок (систем), проведение инструктажа по эксплуатации установок (систем) с персоналом Заказчика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выезд специалиста при возникновении неисправности для диагностики и устранения неполадок в оборудовании/программном обеспечении.</w:t>
            </w:r>
          </w:p>
        </w:tc>
      </w:tr>
      <w:tr w:rsidR="0054682C" w:rsidRPr="00ED4D4A" w:rsidTr="0054682C">
        <w:trPr>
          <w:trHeight w:val="1266"/>
        </w:trPr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rPr>
                <w:b/>
                <w:sz w:val="20"/>
                <w:szCs w:val="20"/>
              </w:rPr>
            </w:pPr>
            <w:r w:rsidRPr="00D67C7A">
              <w:rPr>
                <w:b/>
                <w:sz w:val="20"/>
                <w:szCs w:val="20"/>
              </w:rPr>
              <w:t>Техническое обслуживание: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План обслуживания: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Один раз в квартал: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Услуги по техническому обслуживанию представляют собой комплекс работ по поддержанию технических средств охранной, тревожной сигнализации, и приёмопередающего оборудования в работоспособном состоянии в течение всего срока эксплуатации.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1. Техническое обслуживание включает: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1.1. устранение неисправностей (текущий ремонт);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  <w:lang w:bidi="ru-RU"/>
              </w:rPr>
            </w:pPr>
            <w:r w:rsidRPr="00ED4D4A">
              <w:rPr>
                <w:sz w:val="20"/>
                <w:szCs w:val="20"/>
              </w:rPr>
              <w:t>1.2. замену неработоспособных приборов, блоков, плат, кабелей, проводов и других компонентов на исправные, однотипные или функционально - эквивалентные заменяемым</w:t>
            </w:r>
            <w:r>
              <w:rPr>
                <w:sz w:val="20"/>
                <w:szCs w:val="20"/>
              </w:rPr>
              <w:t xml:space="preserve"> производится по средствам заключения дополнительного договора.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1.3. проведение плановых (не реже одного раза в месяц) регламентных работ с проверкой работоспособности компонентов и комплекса технических средств охранно-пожарной сигнализации (далее «Комплекса») в целом, с обязательной регистрацией проведенных работ в журнале дежурных пульта управления пункта централизованного наблюдения (ДПУ ПЦН) отделов вневедомственной охраны при районных ОВД;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1.4. принятие мер (или) выдачу рекомендаций по устранению причин «ложных» срабатываний;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4D4A">
              <w:rPr>
                <w:sz w:val="20"/>
                <w:szCs w:val="20"/>
              </w:rPr>
              <w:t xml:space="preserve">.5 изменение программы функционирования «Комплекса» по просьбе «Заказчика»;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1.6. оказание консультативных услуг «Заказчику» по вопросам эксплуатации «Комплекса»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 Регламентные работы включают: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2.1. визуальный осмотр компонентов «Комплекса», проверку правильности установки извещателей с учетом возможного изменения планировки или дизайна помещений;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2.2. очистку и протирку клавиатур, извещателей, других компонентов «Комплекса»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2.3. контроль рабочих напряжений;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2.4. контроль работоспособности системы охранно</w:t>
            </w:r>
            <w:r>
              <w:rPr>
                <w:sz w:val="20"/>
                <w:szCs w:val="20"/>
              </w:rPr>
              <w:t>й</w:t>
            </w:r>
            <w:r w:rsidRPr="00ED4D4A">
              <w:rPr>
                <w:sz w:val="20"/>
                <w:szCs w:val="20"/>
              </w:rPr>
              <w:t xml:space="preserve"> сигнализации;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lastRenderedPageBreak/>
              <w:t>2.5. контроль работоспособности системы передачи данных по дублирующему каналу;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2.6. уточнения данных о пользователях;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2.7. консультации, обучение пользователей.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3. Техническое обслуживание «Комплекса» не включает: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3.1. капитальный ремонт «Комплекса» по истечении срока его службы;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3.2. устранение дефектов и неисправностей, появившихся вследствие: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- аварии на объекте (гроза, пожар, затопление, длительное отключение электроэнергии, перенапряжение в сети электропитания, длительная потеря питающего напряжения, перепад напряжения и т.д., в т.ч. замена элементов электропитания) или небрежных действий «Заказчика»;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rFonts w:eastAsia="Calibri"/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 - нарушения условий эксплуатации «Комплекса».</w:t>
            </w:r>
          </w:p>
        </w:tc>
      </w:tr>
      <w:tr w:rsidR="0054682C" w:rsidRPr="00ED4D4A" w:rsidTr="0054682C"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6</w:t>
            </w:r>
            <w:r w:rsidRPr="00ED4D4A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График выполнения и порядок приема работ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shd w:val="clear" w:color="auto" w:fill="FFFFFF"/>
              <w:ind w:firstLine="317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ED4D4A">
              <w:rPr>
                <w:sz w:val="20"/>
                <w:szCs w:val="20"/>
              </w:rPr>
              <w:t xml:space="preserve">Работы выполняются согласно требованиям нормативно-технической документации по графику “Исполнителя”, согласованному с “Заказчиком”, персоналом соответствующей квалификации. Работоспособность систем после проведения работ проверяется “Заказчиком” и заверяется подписями сторон в “журнале регистрации работ”. </w:t>
            </w:r>
          </w:p>
        </w:tc>
      </w:tr>
      <w:tr w:rsidR="0054682C" w:rsidRPr="00ED4D4A" w:rsidTr="0054682C">
        <w:trPr>
          <w:trHeight w:val="1124"/>
        </w:trPr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  <w:r w:rsidRPr="00ED4D4A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pStyle w:val="Standard"/>
              <w:rPr>
                <w:rFonts w:eastAsia="Calibri"/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1. Наличие у исполнителя лицензии на осуществление деятельности указанной в п.15, ч. 1 ст.12 Федерального закона от 04.05.2011 года М99-ФЗ.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3. Выполнение работ осуществляется квалифицированными </w:t>
            </w:r>
            <w:r w:rsidRPr="00B46A19">
              <w:rPr>
                <w:sz w:val="20"/>
                <w:szCs w:val="20"/>
              </w:rPr>
              <w:t>специалистами имеющими сертификат производителя оборудования на право работы с оборудованием «ООО Аргус», имеющие профессиональную подготовку, подтвержденной удостоверениями на право</w:t>
            </w:r>
            <w:r w:rsidRPr="00ED4D4A">
              <w:rPr>
                <w:sz w:val="20"/>
                <w:szCs w:val="20"/>
              </w:rPr>
              <w:t xml:space="preserve"> работ, в том числе в электроустановках до 1000В.</w:t>
            </w:r>
          </w:p>
          <w:p w:rsidR="0054682C" w:rsidRPr="00ED4D4A" w:rsidRDefault="0054682C" w:rsidP="00842B63">
            <w:pPr>
              <w:pStyle w:val="af4"/>
              <w:tabs>
                <w:tab w:val="center" w:pos="742"/>
              </w:tabs>
              <w:jc w:val="both"/>
            </w:pPr>
            <w:r w:rsidRPr="00ED4D4A">
              <w:t xml:space="preserve">4. Выполнение работ не должно препятствовать работе учреждения, а также представлять угроз для сотрудников и пациентов, с соблюдением правил действующего внутреннего распорядка, контрольно-пропускного режима, внутренних положений и инструкций учреждения.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5. Исполнитель обязан обеспечить свой персонал необходимыми средствами индивидуальной защиты, спецодеждой и специальной обувью, а также всеми необходимыми инструментами и приспособлениями;</w:t>
            </w:r>
          </w:p>
          <w:p w:rsidR="0054682C" w:rsidRPr="00ED4D4A" w:rsidRDefault="0054682C" w:rsidP="00842B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6. Отсутствие в реестре недобросовестных поставщиков (подрядчиков, исполнителей).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7. Профессиональный уровень мастерства исполнителя и его знание требований охраны труда, пожарной и электробезопасности, правил обслуживания и санитарных норм является обязательным условием для оказания услуг.             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8. При аварийных ситуациях, а также при выявлении неисправности системы прибытие специалиста </w:t>
            </w:r>
            <w:r w:rsidRPr="00FC5CD5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4</w:t>
            </w:r>
            <w:r w:rsidRPr="00FC5C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четырех</w:t>
            </w:r>
            <w:r w:rsidRPr="00FC5CD5">
              <w:rPr>
                <w:sz w:val="20"/>
                <w:szCs w:val="20"/>
              </w:rPr>
              <w:t>) час</w:t>
            </w:r>
            <w:r>
              <w:rPr>
                <w:sz w:val="20"/>
                <w:szCs w:val="20"/>
              </w:rPr>
              <w:t>ов</w:t>
            </w:r>
            <w:r w:rsidRPr="00FC5CD5">
              <w:rPr>
                <w:sz w:val="20"/>
                <w:szCs w:val="20"/>
              </w:rPr>
              <w:t xml:space="preserve"> с момента вызова.</w:t>
            </w:r>
            <w:r w:rsidRPr="00ED4D4A">
              <w:rPr>
                <w:sz w:val="20"/>
                <w:szCs w:val="20"/>
              </w:rPr>
              <w:t xml:space="preserve">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9. Нахождение материально - технической базы "Исполнителя" на расстоянии не более 70 км от объектов "Заказчика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10. Осуществление технического надзора за правильным содержанием и организацией эксплуатацией систем на объектах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11. Осуществление плановых регламентных работ, необходимых для содержания систем в рабочем состоянии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12.Устранение неисправностей в работе систем по вызову Заказчика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13. Оказание технической помощи в вопросах, касающихся эксплуатации систем на объектах  (проведение инструктажа, составление инструкций по эксплуатации и т. п.)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14. Ведение журналов регистрации технического обслуживания и вызовов на объекты.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15. Взаимодействие с подразделениями ОВО на местах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16. Оказание услуг осуществляется в соответствии с действующими нормативными документами по техническому обслуживанию, с санитарными, противопожарными нормами, с соблюдением правил техники безопасности при работе на высоте. Исполнитель несет ответственность за соблюдение правил техники безопасности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17. В случае обнаружения дефектов после приемки оказанных услуг и выполненных работ исправление дефектов производится за счет Исполнителя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18. При оказании услуг Исполнитель применяет оборудование и материалы строго в соответствии с техническими требованиями и характеристикам, а также должно быть новым, не использованное ранее в употреблении, в т.ч. не были восстановлены потребительские свойства.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lastRenderedPageBreak/>
              <w:t>19. После сдачи ремонтных работ Исполнитель обязан предоставить  сертификаты, технические паспорта или другие документы, удостоверяющие качество материалов и оборудования, подтверждающие соответствие техническим требованиям утвержденной документации завода изготовителя оборудования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20. При оказании услуг Исполнитель обеспечивает сохранность переданного оборудования от начала до приемки оказанных услуг.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21. В случае причинения ущерба, порчи оборудования. Исполнитель обязан за свой счет возместить Заказчику убытки и устранить дефекты.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22. Если в процессе оказания услуг выявляется неисправность оборудования, не связанная с проведением регламентных сервисных работ. Исполнитель обязан выявить причину и выдать заключение (с указанием наименований работ, деталей, их количество).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23. Наличие у Исполнителя складской базы для осуществления, в случае необходимости, замены вышедших из строя основных узлов и механизмов обслуживаемых систем.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24. По окончании проведения технического обслуживания исполнитель должен предоставить заказчику акты технического обслуживания заполнить журналы регистрации работ по ТО и ППР.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25. Исполнитель обязан своевременно уведомить Заказчика о необходимости замены морально и физически устаревшего оборудования, а также отдельных компонентов оборудования, дальнейшая эксплуатация которых не обеспечивает безопасную и бесперебойную работу </w:t>
            </w:r>
            <w:r w:rsidRPr="00ED4D4A">
              <w:rPr>
                <w:rFonts w:eastAsia="Calibri"/>
                <w:sz w:val="20"/>
                <w:szCs w:val="20"/>
              </w:rPr>
              <w:t xml:space="preserve">систем охранной, пожарной, тревожной сигнализации, систем видеонаблюдения. Замена данного оборудования производится </w:t>
            </w:r>
            <w:r w:rsidRPr="00ED4D4A">
              <w:rPr>
                <w:sz w:val="20"/>
                <w:szCs w:val="20"/>
              </w:rPr>
              <w:t xml:space="preserve"> в рамках капитального ремонта систем.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26. Исполнитель обязан уведомлять Заказчика о необходимости проведения аварийно-восстановительных ремонтов оборудования, необходимость в которых возникла вследствие нарушения правил пользования оборудованием систем </w:t>
            </w:r>
            <w:r w:rsidRPr="00ED4D4A">
              <w:rPr>
                <w:rFonts w:eastAsia="Calibri"/>
                <w:sz w:val="20"/>
                <w:szCs w:val="20"/>
              </w:rPr>
              <w:t>охранной, пожарной, тревожной сигнализации, систем видеонаблюдения</w:t>
            </w:r>
          </w:p>
        </w:tc>
      </w:tr>
      <w:tr w:rsidR="0054682C" w:rsidRPr="00ED4D4A" w:rsidTr="0054682C">
        <w:trPr>
          <w:trHeight w:val="274"/>
        </w:trPr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8</w:t>
            </w:r>
            <w:r w:rsidRPr="00ED4D4A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pStyle w:val="Standard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Дополнительные условия</w:t>
            </w:r>
          </w:p>
        </w:tc>
        <w:tc>
          <w:tcPr>
            <w:tcW w:w="7229" w:type="dxa"/>
          </w:tcPr>
          <w:p w:rsidR="0054682C" w:rsidRPr="00ED4D4A" w:rsidRDefault="0054682C" w:rsidP="0054682C">
            <w:pPr>
              <w:pStyle w:val="Standard"/>
              <w:numPr>
                <w:ilvl w:val="0"/>
                <w:numId w:val="18"/>
              </w:numPr>
              <w:ind w:left="0" w:firstLine="326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Капитальный ремонт систем </w:t>
            </w:r>
            <w:r w:rsidRPr="00ED4D4A">
              <w:rPr>
                <w:rFonts w:eastAsia="Calibri"/>
                <w:sz w:val="20"/>
                <w:szCs w:val="20"/>
              </w:rPr>
              <w:t>охранной сигнализации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4D4A">
              <w:rPr>
                <w:sz w:val="20"/>
                <w:szCs w:val="20"/>
              </w:rPr>
              <w:t>в состав услуг/работ, описанных в настоящем техническом задании, не входит</w:t>
            </w:r>
            <w:r>
              <w:rPr>
                <w:sz w:val="20"/>
                <w:szCs w:val="20"/>
              </w:rPr>
              <w:t>.</w:t>
            </w:r>
          </w:p>
          <w:p w:rsidR="0054682C" w:rsidRPr="00ED4D4A" w:rsidRDefault="0054682C" w:rsidP="0054682C">
            <w:pPr>
              <w:pStyle w:val="Standard"/>
              <w:numPr>
                <w:ilvl w:val="0"/>
                <w:numId w:val="18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Расходы на техническое обслуживание систем, а также техническое обслуживание оборудования осуществляются за счет Исполнителя.</w:t>
            </w:r>
          </w:p>
          <w:p w:rsidR="0054682C" w:rsidRPr="00ED4D4A" w:rsidRDefault="0054682C" w:rsidP="0054682C">
            <w:pPr>
              <w:pStyle w:val="Standard"/>
              <w:numPr>
                <w:ilvl w:val="0"/>
                <w:numId w:val="18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В случае выхода из строя оборудования, находящегося на гарантии, замена оборудования происходит в рамках гарантийного обслуживания. При этом Исполнитель самостоятельно отслеживает сроки гарантийного обслуживания оборудования и осуществляет контакты с организацией, несущей обязательства по гарантии</w:t>
            </w:r>
          </w:p>
          <w:p w:rsidR="0054682C" w:rsidRPr="00ED4D4A" w:rsidRDefault="0054682C" w:rsidP="0054682C">
            <w:pPr>
              <w:pStyle w:val="Standard"/>
              <w:numPr>
                <w:ilvl w:val="0"/>
                <w:numId w:val="18"/>
              </w:numPr>
              <w:ind w:left="0" w:firstLine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Абонентная плата включает стоимость: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работ по замене приборов, блоков, плат, кабелей, проводов и других компонентов «Комплекса», перечисленных в п.1.2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регламентных работ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работ по изменению программы функционирования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работ по устранению причин «ложных» срабатываний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 работ по оказанию консультативных услуг</w:t>
            </w:r>
          </w:p>
          <w:p w:rsidR="0054682C" w:rsidRPr="00ED4D4A" w:rsidRDefault="0054682C" w:rsidP="00842B63">
            <w:pPr>
              <w:pStyle w:val="Standard"/>
              <w:ind w:left="317"/>
              <w:jc w:val="both"/>
              <w:rPr>
                <w:sz w:val="20"/>
                <w:szCs w:val="20"/>
              </w:rPr>
            </w:pPr>
          </w:p>
        </w:tc>
      </w:tr>
      <w:tr w:rsidR="0054682C" w:rsidRPr="00FE4F67" w:rsidTr="0054682C">
        <w:trPr>
          <w:trHeight w:val="761"/>
        </w:trPr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  <w:r w:rsidRPr="00ED4D4A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1905" w:type="dxa"/>
          </w:tcPr>
          <w:p w:rsidR="0054682C" w:rsidRPr="00ED4D4A" w:rsidRDefault="0054682C" w:rsidP="00842B63">
            <w:pPr>
              <w:pStyle w:val="Standard"/>
              <w:rPr>
                <w:b/>
                <w:sz w:val="20"/>
                <w:szCs w:val="20"/>
              </w:rPr>
            </w:pPr>
            <w:r w:rsidRPr="00ED4D4A">
              <w:rPr>
                <w:b/>
                <w:sz w:val="20"/>
                <w:szCs w:val="20"/>
              </w:rPr>
              <w:t>Порядок оплаты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ind w:firstLine="175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По окончанию отчетного периода исполнитель обязан предоставить заказчику следующую документацию: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 xml:space="preserve">- акты технического обслуживания / проверки работоспособности систем </w:t>
            </w:r>
          </w:p>
          <w:p w:rsidR="0054682C" w:rsidRPr="00ED4D4A" w:rsidRDefault="0054682C" w:rsidP="00842B63">
            <w:pPr>
              <w:pStyle w:val="Standard"/>
              <w:jc w:val="both"/>
              <w:rPr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счет за оказанные услуги;</w:t>
            </w:r>
          </w:p>
          <w:p w:rsidR="0054682C" w:rsidRPr="00FE4F67" w:rsidRDefault="0054682C" w:rsidP="00842B63">
            <w:pPr>
              <w:pStyle w:val="Standard"/>
              <w:rPr>
                <w:rFonts w:eastAsiaTheme="minorHAnsi"/>
                <w:sz w:val="20"/>
                <w:szCs w:val="20"/>
              </w:rPr>
            </w:pPr>
            <w:r w:rsidRPr="00ED4D4A">
              <w:rPr>
                <w:sz w:val="20"/>
                <w:szCs w:val="20"/>
              </w:rPr>
              <w:t>- акт сдачи-приемки оказанных услуг</w:t>
            </w:r>
          </w:p>
        </w:tc>
      </w:tr>
      <w:tr w:rsidR="0054682C" w:rsidRPr="00FE4F67" w:rsidTr="0054682C">
        <w:trPr>
          <w:trHeight w:val="761"/>
        </w:trPr>
        <w:tc>
          <w:tcPr>
            <w:tcW w:w="534" w:type="dxa"/>
          </w:tcPr>
          <w:p w:rsidR="0054682C" w:rsidRPr="00ED4D4A" w:rsidRDefault="0054682C" w:rsidP="00842B63">
            <w:pPr>
              <w:tabs>
                <w:tab w:val="left" w:pos="3525"/>
                <w:tab w:val="left" w:pos="4294"/>
              </w:tabs>
              <w:spacing w:line="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10.</w:t>
            </w:r>
          </w:p>
        </w:tc>
        <w:tc>
          <w:tcPr>
            <w:tcW w:w="1905" w:type="dxa"/>
          </w:tcPr>
          <w:p w:rsidR="0054682C" w:rsidRPr="0085788F" w:rsidRDefault="0054682C" w:rsidP="00842B63">
            <w:pPr>
              <w:pStyle w:val="Standard"/>
              <w:ind w:firstLine="175"/>
              <w:jc w:val="both"/>
              <w:rPr>
                <w:sz w:val="20"/>
                <w:szCs w:val="20"/>
              </w:rPr>
            </w:pPr>
            <w:r w:rsidRPr="0085788F">
              <w:rPr>
                <w:sz w:val="20"/>
                <w:szCs w:val="20"/>
              </w:rPr>
              <w:t>Приложения к Техническому заданию.</w:t>
            </w:r>
          </w:p>
        </w:tc>
        <w:tc>
          <w:tcPr>
            <w:tcW w:w="7229" w:type="dxa"/>
          </w:tcPr>
          <w:p w:rsidR="0054682C" w:rsidRPr="00ED4D4A" w:rsidRDefault="0054682C" w:rsidP="00842B63">
            <w:pPr>
              <w:pStyle w:val="Standard"/>
              <w:ind w:firstLine="175"/>
              <w:jc w:val="both"/>
              <w:rPr>
                <w:sz w:val="20"/>
                <w:szCs w:val="20"/>
              </w:rPr>
            </w:pPr>
            <w:r w:rsidRPr="0085788F">
              <w:rPr>
                <w:sz w:val="20"/>
                <w:szCs w:val="20"/>
              </w:rPr>
              <w:t>Проектно-сметная документация (публикуется отдельным файлом) в случае указания в документации торговых марок и торговых наименований следует читать со словом «или эквивалент»</w:t>
            </w:r>
          </w:p>
        </w:tc>
      </w:tr>
    </w:tbl>
    <w:p w:rsidR="000C3761" w:rsidRDefault="000C3761" w:rsidP="001E2094">
      <w:pPr>
        <w:jc w:val="both"/>
        <w:rPr>
          <w:b/>
          <w:i/>
          <w:sz w:val="22"/>
          <w:szCs w:val="22"/>
        </w:rPr>
      </w:pPr>
    </w:p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B9610A" w:rsidRDefault="00B9610A" w:rsidP="00BA72CE">
      <w:pPr>
        <w:jc w:val="both"/>
        <w:rPr>
          <w:b/>
          <w:i/>
          <w:sz w:val="22"/>
          <w:szCs w:val="22"/>
        </w:rPr>
      </w:pPr>
    </w:p>
    <w:p w:rsidR="00446F84" w:rsidRDefault="00446F84" w:rsidP="00BA72CE">
      <w:pPr>
        <w:jc w:val="both"/>
        <w:rPr>
          <w:b/>
          <w:i/>
          <w:sz w:val="22"/>
          <w:szCs w:val="22"/>
        </w:rPr>
      </w:pPr>
    </w:p>
    <w:p w:rsidR="00C10616" w:rsidRDefault="00C10616" w:rsidP="00BA72CE">
      <w:pPr>
        <w:jc w:val="both"/>
        <w:rPr>
          <w:b/>
          <w:i/>
        </w:rPr>
      </w:pPr>
    </w:p>
    <w:p w:rsidR="00BA72CE" w:rsidRPr="009A38F9" w:rsidRDefault="00295944" w:rsidP="00BA72CE">
      <w:pPr>
        <w:jc w:val="both"/>
        <w:rPr>
          <w:b/>
          <w:i/>
        </w:rPr>
      </w:pPr>
      <w:r>
        <w:rPr>
          <w:b/>
          <w:i/>
        </w:rPr>
        <w:t>Директор</w:t>
      </w:r>
    </w:p>
    <w:p w:rsidR="00FF18B4" w:rsidRDefault="00916475" w:rsidP="00BA72CE">
      <w:r>
        <w:rPr>
          <w:b/>
          <w:i/>
        </w:rPr>
        <w:t>ЧУЗ «КБ «РЖД-Медицина» г. Чита»</w:t>
      </w:r>
      <w:r w:rsidR="00BA72CE" w:rsidRPr="00241F58">
        <w:rPr>
          <w:b/>
          <w:i/>
        </w:rPr>
        <w:tab/>
      </w:r>
      <w:r>
        <w:rPr>
          <w:b/>
          <w:i/>
        </w:rPr>
        <w:t xml:space="preserve">    </w:t>
      </w:r>
      <w:r w:rsidR="00182104">
        <w:rPr>
          <w:b/>
          <w:i/>
        </w:rPr>
        <w:t xml:space="preserve"> </w:t>
      </w:r>
      <w:r w:rsidR="00271AE1">
        <w:rPr>
          <w:b/>
          <w:i/>
        </w:rPr>
        <w:t xml:space="preserve">                </w:t>
      </w:r>
      <w:r w:rsidR="00F63B73">
        <w:rPr>
          <w:b/>
          <w:i/>
        </w:rPr>
        <w:t xml:space="preserve">  </w:t>
      </w:r>
      <w:r w:rsidR="00206597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BA72CE" w:rsidRPr="00FC3217">
        <w:rPr>
          <w:b/>
          <w:i/>
        </w:rPr>
        <w:t xml:space="preserve">________________ </w:t>
      </w:r>
      <w:r w:rsidR="00295944">
        <w:rPr>
          <w:b/>
          <w:i/>
        </w:rPr>
        <w:t>В.Ю. Макаров</w:t>
      </w:r>
    </w:p>
    <w:sectPr w:rsidR="00FF18B4" w:rsidSect="006B251A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6" w:rsidRDefault="00F31306" w:rsidP="000F1393">
      <w:r>
        <w:separator/>
      </w:r>
    </w:p>
  </w:endnote>
  <w:endnote w:type="continuationSeparator" w:id="0">
    <w:p w:rsidR="00F31306" w:rsidRDefault="00F31306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6" w:rsidRDefault="00F31306" w:rsidP="000F1393">
      <w:r>
        <w:separator/>
      </w:r>
    </w:p>
  </w:footnote>
  <w:footnote w:type="continuationSeparator" w:id="0">
    <w:p w:rsidR="00F31306" w:rsidRDefault="00F31306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0BA86CAC"/>
    <w:multiLevelType w:val="hybridMultilevel"/>
    <w:tmpl w:val="C5DC0136"/>
    <w:lvl w:ilvl="0" w:tplc="AD3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D0A3F"/>
    <w:multiLevelType w:val="hybridMultilevel"/>
    <w:tmpl w:val="13EA46FE"/>
    <w:lvl w:ilvl="0" w:tplc="D048EF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E219A3"/>
    <w:multiLevelType w:val="hybridMultilevel"/>
    <w:tmpl w:val="71E84F5C"/>
    <w:lvl w:ilvl="0" w:tplc="FC9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7EF1"/>
    <w:multiLevelType w:val="hybridMultilevel"/>
    <w:tmpl w:val="718CA880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F61F2"/>
    <w:multiLevelType w:val="hybridMultilevel"/>
    <w:tmpl w:val="718CA880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68CE"/>
    <w:multiLevelType w:val="hybridMultilevel"/>
    <w:tmpl w:val="02C0FD1A"/>
    <w:lvl w:ilvl="0" w:tplc="AD32D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517D08"/>
    <w:multiLevelType w:val="multilevel"/>
    <w:tmpl w:val="BC64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D71929"/>
    <w:multiLevelType w:val="multilevel"/>
    <w:tmpl w:val="F8602CDC"/>
    <w:lvl w:ilvl="0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abstractNum w:abstractNumId="11" w15:restartNumberingAfterBreak="0">
    <w:nsid w:val="599D2966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864A5"/>
    <w:multiLevelType w:val="hybridMultilevel"/>
    <w:tmpl w:val="C868B394"/>
    <w:lvl w:ilvl="0" w:tplc="97BCA08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407D"/>
    <w:multiLevelType w:val="hybridMultilevel"/>
    <w:tmpl w:val="750E0BD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21830"/>
    <w:multiLevelType w:val="multilevel"/>
    <w:tmpl w:val="5E068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59C60FB"/>
    <w:multiLevelType w:val="hybridMultilevel"/>
    <w:tmpl w:val="3F6C6E9C"/>
    <w:lvl w:ilvl="0" w:tplc="444A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BFF"/>
    <w:multiLevelType w:val="hybridMultilevel"/>
    <w:tmpl w:val="C5A00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C1CBC"/>
    <w:multiLevelType w:val="hybridMultilevel"/>
    <w:tmpl w:val="12A6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67AAC"/>
    <w:multiLevelType w:val="multilevel"/>
    <w:tmpl w:val="B6602D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EB7746"/>
    <w:multiLevelType w:val="hybridMultilevel"/>
    <w:tmpl w:val="43E87074"/>
    <w:lvl w:ilvl="0" w:tplc="90A47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13"/>
  </w:num>
  <w:num w:numId="8">
    <w:abstractNumId w:val="11"/>
  </w:num>
  <w:num w:numId="9">
    <w:abstractNumId w:val="7"/>
  </w:num>
  <w:num w:numId="10">
    <w:abstractNumId w:val="19"/>
  </w:num>
  <w:num w:numId="11">
    <w:abstractNumId w:val="12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10"/>
  </w:num>
  <w:num w:numId="17">
    <w:abstractNumId w:val="3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3761"/>
    <w:rsid w:val="000C6291"/>
    <w:rsid w:val="000C79DB"/>
    <w:rsid w:val="000D08E6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335DC"/>
    <w:rsid w:val="001471B1"/>
    <w:rsid w:val="00150980"/>
    <w:rsid w:val="00153AA8"/>
    <w:rsid w:val="00160185"/>
    <w:rsid w:val="00160F4B"/>
    <w:rsid w:val="001622E2"/>
    <w:rsid w:val="001639C2"/>
    <w:rsid w:val="001722F8"/>
    <w:rsid w:val="00180EEF"/>
    <w:rsid w:val="00181B3A"/>
    <w:rsid w:val="00182104"/>
    <w:rsid w:val="001835DB"/>
    <w:rsid w:val="001907B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0AD3"/>
    <w:rsid w:val="001D1A44"/>
    <w:rsid w:val="001D48C2"/>
    <w:rsid w:val="001D4E0A"/>
    <w:rsid w:val="001E06E8"/>
    <w:rsid w:val="001E2094"/>
    <w:rsid w:val="001E4EA2"/>
    <w:rsid w:val="001E6089"/>
    <w:rsid w:val="001F35DB"/>
    <w:rsid w:val="001F6B38"/>
    <w:rsid w:val="002042F7"/>
    <w:rsid w:val="00204ECB"/>
    <w:rsid w:val="00206597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1F58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AE1"/>
    <w:rsid w:val="00277FD6"/>
    <w:rsid w:val="0028365C"/>
    <w:rsid w:val="00294698"/>
    <w:rsid w:val="00295944"/>
    <w:rsid w:val="00297B7F"/>
    <w:rsid w:val="002A0A5C"/>
    <w:rsid w:val="002A0FB7"/>
    <w:rsid w:val="002A2FA0"/>
    <w:rsid w:val="002A5D4E"/>
    <w:rsid w:val="002A6013"/>
    <w:rsid w:val="002A626C"/>
    <w:rsid w:val="002A7606"/>
    <w:rsid w:val="002A77AC"/>
    <w:rsid w:val="002B1F9C"/>
    <w:rsid w:val="002B303B"/>
    <w:rsid w:val="002B3DEC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767A2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6F84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6DA9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34297"/>
    <w:rsid w:val="00540321"/>
    <w:rsid w:val="005414AB"/>
    <w:rsid w:val="0054682C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37EE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4C25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05978"/>
    <w:rsid w:val="00611357"/>
    <w:rsid w:val="006132CB"/>
    <w:rsid w:val="00614711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64CD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51A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39C"/>
    <w:rsid w:val="006F04CC"/>
    <w:rsid w:val="006F4824"/>
    <w:rsid w:val="00703100"/>
    <w:rsid w:val="00704FCE"/>
    <w:rsid w:val="00705543"/>
    <w:rsid w:val="007228BB"/>
    <w:rsid w:val="0072523D"/>
    <w:rsid w:val="0072557C"/>
    <w:rsid w:val="00726273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595D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064"/>
    <w:rsid w:val="007F47C6"/>
    <w:rsid w:val="007F5418"/>
    <w:rsid w:val="00802873"/>
    <w:rsid w:val="00802A51"/>
    <w:rsid w:val="00802AD5"/>
    <w:rsid w:val="008032A6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1C6F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2FA"/>
    <w:rsid w:val="008E3A28"/>
    <w:rsid w:val="008E6452"/>
    <w:rsid w:val="008E78D0"/>
    <w:rsid w:val="008F1D6C"/>
    <w:rsid w:val="008F70E9"/>
    <w:rsid w:val="009012CF"/>
    <w:rsid w:val="00903664"/>
    <w:rsid w:val="00905431"/>
    <w:rsid w:val="00905B9D"/>
    <w:rsid w:val="00905C6D"/>
    <w:rsid w:val="00910751"/>
    <w:rsid w:val="00912FB9"/>
    <w:rsid w:val="00916475"/>
    <w:rsid w:val="00917BA0"/>
    <w:rsid w:val="009207CB"/>
    <w:rsid w:val="00922963"/>
    <w:rsid w:val="009245AD"/>
    <w:rsid w:val="00931411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38F9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1BE3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D6D23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47803"/>
    <w:rsid w:val="00B500F8"/>
    <w:rsid w:val="00B505B5"/>
    <w:rsid w:val="00B55A06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9610A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192"/>
    <w:rsid w:val="00BF5B61"/>
    <w:rsid w:val="00BF722F"/>
    <w:rsid w:val="00C0383A"/>
    <w:rsid w:val="00C06FD3"/>
    <w:rsid w:val="00C10616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1054"/>
    <w:rsid w:val="00C73297"/>
    <w:rsid w:val="00C7443D"/>
    <w:rsid w:val="00C82596"/>
    <w:rsid w:val="00C83AA1"/>
    <w:rsid w:val="00C8652B"/>
    <w:rsid w:val="00C870AA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24CF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07E39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4AE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1980"/>
    <w:rsid w:val="00DB51D0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DE7B69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05E"/>
    <w:rsid w:val="00E609C6"/>
    <w:rsid w:val="00E60B5D"/>
    <w:rsid w:val="00E63A44"/>
    <w:rsid w:val="00E6586A"/>
    <w:rsid w:val="00E71CF3"/>
    <w:rsid w:val="00E75725"/>
    <w:rsid w:val="00E82D47"/>
    <w:rsid w:val="00E8373E"/>
    <w:rsid w:val="00E850EC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01FB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1306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3B73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52A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AC10"/>
  <w15:docId w15:val="{4F91B013-DA12-4C0E-8C15-49549F1E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qFormat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Bullet List,FooterText,numbered,Цветной список - Акцент 11,Список нумерованный цифры,-Абзац списка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496DA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62">
    <w:name w:val="Основной текст62"/>
    <w:basedOn w:val="a"/>
    <w:uiPriority w:val="99"/>
    <w:rsid w:val="00496DA9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DE7B69"/>
    <w:pPr>
      <w:suppressAutoHyphens/>
      <w:autoSpaceDE w:val="0"/>
      <w:jc w:val="both"/>
    </w:pPr>
    <w:rPr>
      <w:rFonts w:eastAsia="Arial"/>
      <w:kern w:val="1"/>
      <w:sz w:val="28"/>
      <w:szCs w:val="28"/>
      <w:lang w:eastAsia="ar-SA"/>
    </w:rPr>
  </w:style>
  <w:style w:type="paragraph" w:customStyle="1" w:styleId="Style11">
    <w:name w:val="Style11"/>
    <w:basedOn w:val="a"/>
    <w:rsid w:val="002A2FA0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26">
    <w:name w:val="Абзац списка2"/>
    <w:basedOn w:val="a"/>
    <w:rsid w:val="002A2FA0"/>
    <w:pPr>
      <w:suppressAutoHyphens/>
      <w:ind w:left="720"/>
      <w:contextualSpacing/>
    </w:pPr>
    <w:rPr>
      <w:lang w:eastAsia="zh-CN"/>
    </w:rPr>
  </w:style>
  <w:style w:type="paragraph" w:customStyle="1" w:styleId="35">
    <w:name w:val="Абзац списка3"/>
    <w:basedOn w:val="a"/>
    <w:rsid w:val="006B251A"/>
    <w:pPr>
      <w:suppressAutoHyphens/>
      <w:ind w:left="720"/>
      <w:contextualSpacing/>
    </w:pPr>
    <w:rPr>
      <w:lang w:eastAsia="zh-CN"/>
    </w:rPr>
  </w:style>
  <w:style w:type="paragraph" w:customStyle="1" w:styleId="43">
    <w:name w:val="Абзац списка4"/>
    <w:basedOn w:val="a"/>
    <w:rsid w:val="00E6005E"/>
    <w:pPr>
      <w:suppressAutoHyphens/>
      <w:ind w:left="720"/>
      <w:contextualSpacing/>
    </w:pPr>
    <w:rPr>
      <w:lang w:eastAsia="zh-CN"/>
    </w:rPr>
  </w:style>
  <w:style w:type="paragraph" w:customStyle="1" w:styleId="6">
    <w:name w:val="Абзац списка6"/>
    <w:basedOn w:val="a"/>
    <w:rsid w:val="000C3761"/>
    <w:pPr>
      <w:suppressAutoHyphens/>
      <w:ind w:left="720"/>
      <w:contextualSpacing/>
    </w:pPr>
    <w:rPr>
      <w:lang w:eastAsia="zh-CN"/>
    </w:rPr>
  </w:style>
  <w:style w:type="paragraph" w:customStyle="1" w:styleId="52">
    <w:name w:val="Абзац списка5"/>
    <w:basedOn w:val="a"/>
    <w:rsid w:val="002B3DEC"/>
    <w:pPr>
      <w:suppressAutoHyphens/>
      <w:ind w:left="720"/>
      <w:contextualSpacing/>
    </w:pPr>
    <w:rPr>
      <w:lang w:eastAsia="zh-CN"/>
    </w:rPr>
  </w:style>
  <w:style w:type="paragraph" w:customStyle="1" w:styleId="7">
    <w:name w:val="Абзац списка7"/>
    <w:basedOn w:val="a"/>
    <w:rsid w:val="007F4064"/>
    <w:pPr>
      <w:suppressAutoHyphens/>
      <w:ind w:left="720"/>
      <w:contextualSpacing/>
    </w:pPr>
    <w:rPr>
      <w:lang w:eastAsia="zh-CN"/>
    </w:rPr>
  </w:style>
  <w:style w:type="character" w:customStyle="1" w:styleId="fontstyle01">
    <w:name w:val="fontstyle01"/>
    <w:rsid w:val="001335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1z3">
    <w:name w:val="WW8Num11z3"/>
    <w:rsid w:val="001335DC"/>
  </w:style>
  <w:style w:type="character" w:customStyle="1" w:styleId="27">
    <w:name w:val="Основной шрифт абзаца2"/>
    <w:rsid w:val="006F039C"/>
  </w:style>
  <w:style w:type="paragraph" w:customStyle="1" w:styleId="8">
    <w:name w:val="Абзац списка8"/>
    <w:basedOn w:val="a"/>
    <w:rsid w:val="006F039C"/>
    <w:pPr>
      <w:suppressAutoHyphens/>
      <w:ind w:left="720"/>
      <w:contextualSpacing/>
    </w:pPr>
    <w:rPr>
      <w:lang w:eastAsia="zh-CN"/>
    </w:rPr>
  </w:style>
  <w:style w:type="paragraph" w:customStyle="1" w:styleId="9">
    <w:name w:val="Абзац списка9"/>
    <w:basedOn w:val="a"/>
    <w:rsid w:val="00295944"/>
    <w:pPr>
      <w:suppressAutoHyphens/>
      <w:ind w:left="720"/>
      <w:contextualSpacing/>
    </w:pPr>
    <w:rPr>
      <w:lang w:eastAsia="zh-CN"/>
    </w:rPr>
  </w:style>
  <w:style w:type="character" w:customStyle="1" w:styleId="af8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"/>
    <w:link w:val="af7"/>
    <w:uiPriority w:val="34"/>
    <w:locked/>
    <w:rsid w:val="001E209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3DDD-B23F-472E-A0DF-F7501B67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1216</Words>
  <Characters>9215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cp:keywords/>
  <dc:description/>
  <cp:lastModifiedBy>User</cp:lastModifiedBy>
  <cp:revision>10</cp:revision>
  <cp:lastPrinted>2024-03-01T00:55:00Z</cp:lastPrinted>
  <dcterms:created xsi:type="dcterms:W3CDTF">2023-07-05T07:46:00Z</dcterms:created>
  <dcterms:modified xsi:type="dcterms:W3CDTF">2025-04-17T04:49:00Z</dcterms:modified>
</cp:coreProperties>
</file>