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E7" w:rsidRDefault="00A14AE7">
      <w:pPr>
        <w:rPr>
          <w:sz w:val="22"/>
          <w:szCs w:val="22"/>
        </w:rPr>
      </w:pPr>
    </w:p>
    <w:p w:rsidR="007D0AC9" w:rsidRPr="00F62C66" w:rsidRDefault="007D0AC9" w:rsidP="007D0AC9">
      <w:pPr>
        <w:spacing w:before="120" w:line="240" w:lineRule="auto"/>
        <w:ind w:right="12" w:firstLine="851"/>
        <w:jc w:val="both"/>
        <w:rPr>
          <w:b/>
          <w:lang w:eastAsia="ru-RU"/>
        </w:rPr>
      </w:pPr>
      <w:r w:rsidRPr="00F62C66">
        <w:rPr>
          <w:b/>
          <w:lang w:eastAsia="ru-RU"/>
        </w:rPr>
        <w:t xml:space="preserve">При подаче ценового предложения поле «Наименование» является ОБЯЗАТЕЛЬНЫМ для заполнения! </w:t>
      </w:r>
    </w:p>
    <w:p w:rsidR="007D0AC9" w:rsidRDefault="007D0AC9" w:rsidP="007D0AC9">
      <w:pPr>
        <w:spacing w:before="120" w:line="240" w:lineRule="auto"/>
        <w:ind w:right="12" w:firstLine="851"/>
        <w:jc w:val="both"/>
        <w:rPr>
          <w:b/>
          <w:lang w:eastAsia="ru-RU"/>
        </w:rPr>
      </w:pPr>
      <w:r w:rsidRPr="00F62C66">
        <w:rPr>
          <w:b/>
          <w:lang w:eastAsia="ru-RU"/>
        </w:rPr>
        <w:t xml:space="preserve">В нем участник указывает полное наименование работ/услуг в соответствии с требованиями технического задания. </w:t>
      </w:r>
    </w:p>
    <w:p w:rsidR="007D0AC9" w:rsidRDefault="007D0AC9">
      <w:pPr>
        <w:shd w:val="clear" w:color="auto" w:fill="FFFFFF"/>
        <w:jc w:val="center"/>
        <w:rPr>
          <w:b/>
          <w:spacing w:val="-1"/>
          <w:sz w:val="22"/>
          <w:szCs w:val="22"/>
        </w:rPr>
        <w:sectPr w:rsidR="007D0AC9">
          <w:pgSz w:w="11906" w:h="16838"/>
          <w:pgMar w:top="720" w:right="720" w:bottom="720" w:left="720" w:header="720" w:footer="720" w:gutter="0"/>
          <w:cols w:space="720"/>
          <w:docGrid w:linePitch="360" w:charSpace="-6145"/>
        </w:sectPr>
      </w:pPr>
      <w:bookmarkStart w:id="0" w:name="_GoBack"/>
      <w:bookmarkEnd w:id="0"/>
    </w:p>
    <w:p w:rsidR="007D0AC9" w:rsidRDefault="007D0AC9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A14AE7" w:rsidRDefault="007D0AC9">
      <w:pPr>
        <w:shd w:val="clear" w:color="auto" w:fill="FFFFFF"/>
        <w:jc w:val="center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ТЕХНИЧЕСКОЕ ЗАДАНИЕ</w:t>
      </w:r>
    </w:p>
    <w:p w:rsidR="00A14AE7" w:rsidRDefault="007D0AC9">
      <w:pPr>
        <w:shd w:val="clear" w:color="auto" w:fill="FFFFFF"/>
        <w:jc w:val="center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на выполнение проектных работ и подготовку проектно-сметной документации по организации узла коммерческого учета тепловой энергии, теплоносителя на объекте нежилое здание архива </w:t>
      </w:r>
    </w:p>
    <w:p w:rsidR="00A14AE7" w:rsidRDefault="007D0AC9">
      <w:pPr>
        <w:shd w:val="clear" w:color="auto" w:fill="FFFFFF"/>
        <w:jc w:val="center"/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ЧУЗ «КБ «РЖД-Медицина» г. Челябинск» ул. Стрелковая, </w:t>
      </w:r>
      <w:r>
        <w:rPr>
          <w:sz w:val="22"/>
          <w:szCs w:val="22"/>
        </w:rPr>
        <w:t>12.</w:t>
      </w:r>
    </w:p>
    <w:tbl>
      <w:tblPr>
        <w:tblW w:w="10348" w:type="dxa"/>
        <w:tblInd w:w="-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7878"/>
      </w:tblGrid>
      <w:tr w:rsidR="00A14AE7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основных данных и требований</w:t>
            </w:r>
          </w:p>
        </w:tc>
        <w:tc>
          <w:tcPr>
            <w:tcW w:w="78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Основные данные и требования</w:t>
            </w:r>
          </w:p>
        </w:tc>
      </w:tr>
      <w:tr w:rsidR="00A14AE7">
        <w:trPr>
          <w:trHeight w:val="594"/>
        </w:trPr>
        <w:tc>
          <w:tcPr>
            <w:tcW w:w="2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7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right="30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ЧУЗ «КБ «РЖД-Медицина» г. Челябинск», 454000, Челябинская область, </w:t>
            </w:r>
            <w:r>
              <w:rPr>
                <w:sz w:val="22"/>
                <w:szCs w:val="22"/>
              </w:rPr>
              <w:br/>
              <w:t xml:space="preserve">г. Челябинск, ул. </w:t>
            </w:r>
            <w:proofErr w:type="spellStart"/>
            <w:r>
              <w:rPr>
                <w:sz w:val="22"/>
                <w:szCs w:val="22"/>
              </w:rPr>
              <w:t>Цвиллинга</w:t>
            </w:r>
            <w:proofErr w:type="spellEnd"/>
            <w:r>
              <w:rPr>
                <w:sz w:val="22"/>
                <w:szCs w:val="22"/>
              </w:rPr>
              <w:t>, дом 41.</w:t>
            </w:r>
          </w:p>
        </w:tc>
      </w:tr>
      <w:tr w:rsidR="00A14AE7">
        <w:trPr>
          <w:trHeight w:val="597"/>
        </w:trPr>
        <w:tc>
          <w:tcPr>
            <w:tcW w:w="2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для проектирования</w:t>
            </w:r>
          </w:p>
        </w:tc>
        <w:tc>
          <w:tcPr>
            <w:tcW w:w="7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right="30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на проектирование, техническое </w:t>
            </w:r>
            <w:r>
              <w:rPr>
                <w:sz w:val="22"/>
                <w:szCs w:val="22"/>
              </w:rPr>
              <w:t>задание на проектирование,</w:t>
            </w:r>
            <w:r>
              <w:rPr>
                <w:color w:val="000000"/>
                <w:kern w:val="0"/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>технические условия на проектирование узлов учета тепловой энергии (далее по тексту УУТЭ) № 4987 от 22.11.2024 г., выданные АО «УСТЭК-Челябинск».</w:t>
            </w:r>
          </w:p>
        </w:tc>
      </w:tr>
      <w:tr w:rsidR="00A14AE7">
        <w:trPr>
          <w:trHeight w:val="597"/>
        </w:trPr>
        <w:tc>
          <w:tcPr>
            <w:tcW w:w="2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от предпринимательской деятельности</w:t>
            </w:r>
          </w:p>
        </w:tc>
      </w:tr>
      <w:tr w:rsidR="00A14AE7">
        <w:trPr>
          <w:trHeight w:val="537"/>
        </w:trPr>
        <w:tc>
          <w:tcPr>
            <w:tcW w:w="2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Стадийность </w:t>
            </w:r>
            <w:r>
              <w:rPr>
                <w:sz w:val="22"/>
                <w:szCs w:val="22"/>
              </w:rPr>
              <w:t>проектирования</w:t>
            </w:r>
          </w:p>
        </w:tc>
        <w:tc>
          <w:tcPr>
            <w:tcW w:w="7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hd w:val="clear" w:color="auto" w:fill="FFFFFF"/>
              <w:spacing w:line="280" w:lineRule="atLeast"/>
              <w:ind w:right="22" w:firstLine="263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Проектная и рабочая документация</w:t>
            </w:r>
          </w:p>
        </w:tc>
      </w:tr>
      <w:tr w:rsidR="00A14AE7">
        <w:trPr>
          <w:trHeight w:val="287"/>
        </w:trPr>
        <w:tc>
          <w:tcPr>
            <w:tcW w:w="2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работ</w:t>
            </w:r>
          </w:p>
        </w:tc>
        <w:tc>
          <w:tcPr>
            <w:tcW w:w="7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left="3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проекта </w:t>
            </w:r>
            <w:r>
              <w:rPr>
                <w:spacing w:val="-1"/>
                <w:sz w:val="22"/>
                <w:szCs w:val="22"/>
              </w:rPr>
              <w:t>узла коммерческого учета тепловой энергии, теплоносителя</w:t>
            </w:r>
          </w:p>
        </w:tc>
      </w:tr>
      <w:tr w:rsidR="00A14AE7">
        <w:trPr>
          <w:trHeight w:val="21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7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hd w:val="clear" w:color="auto" w:fill="FFFFFF"/>
              <w:ind w:firstLine="263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г. Челябинск, </w:t>
            </w:r>
            <w:r>
              <w:rPr>
                <w:sz w:val="22"/>
                <w:szCs w:val="22"/>
              </w:rPr>
              <w:t>ул. Стрелковая, 12</w:t>
            </w:r>
            <w:r>
              <w:rPr>
                <w:color w:val="000000" w:themeColor="text1"/>
                <w:sz w:val="22"/>
                <w:szCs w:val="22"/>
              </w:rPr>
              <w:t>, нежилое здание архива.</w:t>
            </w:r>
          </w:p>
          <w:p w:rsidR="00A14AE7" w:rsidRDefault="00A14AE7">
            <w:pPr>
              <w:shd w:val="clear" w:color="auto" w:fill="FFFFFF"/>
              <w:ind w:left="33" w:firstLine="263"/>
              <w:jc w:val="both"/>
              <w:rPr>
                <w:sz w:val="22"/>
                <w:szCs w:val="22"/>
              </w:rPr>
            </w:pPr>
          </w:p>
        </w:tc>
      </w:tr>
      <w:tr w:rsidR="00A14AE7">
        <w:trPr>
          <w:trHeight w:val="579"/>
        </w:trPr>
        <w:tc>
          <w:tcPr>
            <w:tcW w:w="2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проектирования</w:t>
            </w:r>
          </w:p>
        </w:tc>
        <w:tc>
          <w:tcPr>
            <w:tcW w:w="787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14AE7" w:rsidRDefault="007D0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Шестьдесят календарных дней</w:t>
            </w:r>
          </w:p>
        </w:tc>
      </w:tr>
      <w:tr w:rsidR="00A14AE7">
        <w:trPr>
          <w:trHeight w:val="831"/>
        </w:trPr>
        <w:tc>
          <w:tcPr>
            <w:tcW w:w="2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и технико-экономические показатели объекта</w:t>
            </w:r>
          </w:p>
        </w:tc>
        <w:tc>
          <w:tcPr>
            <w:tcW w:w="7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left="121" w:right="303" w:firstLine="2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объекта – нежилое.</w:t>
            </w:r>
          </w:p>
          <w:p w:rsidR="00A14AE7" w:rsidRDefault="007D0AC9">
            <w:pPr>
              <w:ind w:left="121" w:right="303" w:firstLine="2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площадь помещений – 861,9 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.</w:t>
            </w:r>
          </w:p>
          <w:p w:rsidR="00A14AE7" w:rsidRDefault="00A14AE7">
            <w:pPr>
              <w:ind w:left="121" w:right="303" w:firstLine="230"/>
              <w:jc w:val="both"/>
              <w:rPr>
                <w:sz w:val="22"/>
                <w:szCs w:val="22"/>
              </w:rPr>
            </w:pPr>
          </w:p>
        </w:tc>
      </w:tr>
      <w:tr w:rsidR="00A14AE7">
        <w:trPr>
          <w:trHeight w:val="977"/>
        </w:trPr>
        <w:tc>
          <w:tcPr>
            <w:tcW w:w="2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документации</w:t>
            </w:r>
          </w:p>
        </w:tc>
        <w:tc>
          <w:tcPr>
            <w:tcW w:w="78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pacing w:line="240" w:lineRule="auto"/>
              <w:ind w:left="121" w:right="30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составе рабочей документации предусмотрены:</w:t>
            </w:r>
          </w:p>
          <w:p w:rsidR="00A14AE7" w:rsidRDefault="007D0AC9">
            <w:pPr>
              <w:spacing w:line="240" w:lineRule="auto"/>
              <w:ind w:left="121" w:right="30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раздел отопление и вентиляция</w:t>
            </w:r>
            <w:r>
              <w:rPr>
                <w:sz w:val="22"/>
                <w:szCs w:val="22"/>
              </w:rPr>
              <w:t xml:space="preserve"> (ОВ);</w:t>
            </w:r>
          </w:p>
          <w:p w:rsidR="00A14AE7" w:rsidRDefault="007D0AC9">
            <w:pPr>
              <w:spacing w:line="240" w:lineRule="auto"/>
              <w:ind w:left="121" w:right="30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раздел «Сметная документация» выполненная в сметной программе «Строительный эксперт».</w:t>
            </w:r>
          </w:p>
        </w:tc>
      </w:tr>
      <w:tr w:rsidR="00A14AE7">
        <w:trPr>
          <w:trHeight w:val="272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требования </w:t>
            </w:r>
          </w:p>
        </w:tc>
        <w:tc>
          <w:tcPr>
            <w:tcW w:w="7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AE7" w:rsidRDefault="007D0AC9">
            <w:pPr>
              <w:ind w:left="121" w:right="303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техническим заданием разработать проект узла коммерческого учета тепловой энергии в здании.</w:t>
            </w:r>
          </w:p>
        </w:tc>
      </w:tr>
      <w:tr w:rsidR="00A14AE7">
        <w:tc>
          <w:tcPr>
            <w:tcW w:w="24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Особые условия</w:t>
            </w:r>
          </w:p>
        </w:tc>
        <w:tc>
          <w:tcPr>
            <w:tcW w:w="787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left="121" w:right="30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Представители проектной организации выезжают на объект с целью его визуального обследования, </w:t>
            </w:r>
            <w:proofErr w:type="spellStart"/>
            <w:r>
              <w:rPr>
                <w:sz w:val="22"/>
                <w:szCs w:val="22"/>
              </w:rPr>
              <w:t>фотофиксации</w:t>
            </w:r>
            <w:proofErr w:type="spellEnd"/>
            <w:r>
              <w:rPr>
                <w:sz w:val="22"/>
                <w:szCs w:val="22"/>
              </w:rPr>
              <w:t xml:space="preserve">, уточнения деталей технического задания и технических условий на проектирование. </w:t>
            </w:r>
          </w:p>
        </w:tc>
      </w:tr>
      <w:tr w:rsidR="00A14AE7">
        <w:trPr>
          <w:trHeight w:val="140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и требования к исполнителю</w:t>
            </w:r>
          </w:p>
        </w:tc>
        <w:tc>
          <w:tcPr>
            <w:tcW w:w="7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pacing w:line="240" w:lineRule="auto"/>
              <w:ind w:right="3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Наличие членства в саморегулируемой организации (СРО);</w:t>
            </w:r>
          </w:p>
          <w:p w:rsidR="00A14AE7" w:rsidRDefault="007D0AC9">
            <w:pPr>
              <w:spacing w:line="240" w:lineRule="auto"/>
              <w:ind w:right="3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Исполнитель может привлекать для выполнения работ третьих лиц;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</w:t>
            </w:r>
            <w:proofErr w:type="gramStart"/>
            <w:r>
              <w:rPr>
                <w:bCs/>
                <w:sz w:val="22"/>
                <w:szCs w:val="22"/>
              </w:rPr>
              <w:t>В</w:t>
            </w:r>
            <w:proofErr w:type="gramEnd"/>
            <w:r>
              <w:rPr>
                <w:bCs/>
                <w:sz w:val="22"/>
                <w:szCs w:val="22"/>
              </w:rPr>
              <w:t xml:space="preserve"> связи с необходимостью выезда на объект для более оперативного решения вопросов проектирования, месторасположение исполнителя д</w:t>
            </w:r>
            <w:r>
              <w:rPr>
                <w:bCs/>
                <w:sz w:val="22"/>
                <w:szCs w:val="22"/>
              </w:rPr>
              <w:t>олжно быть в пределах города Челябинска.</w:t>
            </w:r>
          </w:p>
        </w:tc>
      </w:tr>
      <w:tr w:rsidR="00A14AE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по объему гарантий качества</w:t>
            </w:r>
          </w:p>
        </w:tc>
        <w:tc>
          <w:tcPr>
            <w:tcW w:w="7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left="121" w:right="303" w:firstLine="2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Гарантия качества выполненных работ предоставляется в полном объеме. Под объемом предоставления гарантий качества выполненных работ: понимается совокупный объем выполненных </w:t>
            </w:r>
            <w:r>
              <w:rPr>
                <w:sz w:val="22"/>
                <w:szCs w:val="22"/>
              </w:rPr>
              <w:t>работ; в случае вступления в силу гарантийных обязательств.</w:t>
            </w:r>
          </w:p>
          <w:p w:rsidR="00A14AE7" w:rsidRDefault="007D0AC9">
            <w:pPr>
              <w:ind w:left="121" w:right="303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 обязан безвозмездно исправить по требованию Заказчика все выявленные недостатки, а также выполнить все необходимые доработки, если в процессе выполнения работ были допущены отступления</w:t>
            </w:r>
            <w:r>
              <w:rPr>
                <w:sz w:val="22"/>
                <w:szCs w:val="22"/>
              </w:rPr>
              <w:t xml:space="preserve"> от условий договора, ухудшившие качество работ.</w:t>
            </w:r>
          </w:p>
        </w:tc>
      </w:tr>
      <w:tr w:rsidR="00A14AE7"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по сроку гарантий качества</w:t>
            </w:r>
          </w:p>
        </w:tc>
        <w:tc>
          <w:tcPr>
            <w:tcW w:w="7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left="121" w:right="30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Гарантийный срок на выполнение работ не менее 3 лет с даты подписания итогового акта сдачи-приемки работ. Если в гарантийный период объекта обнаружатся недостатки и деф</w:t>
            </w:r>
            <w:r>
              <w:rPr>
                <w:sz w:val="22"/>
                <w:szCs w:val="22"/>
              </w:rPr>
              <w:t>екты, допущенные по вине Исполнителя и препятствующие нормальной эксплуатации объекта, то Исполнитель обязан их устранить в установленный Заказчиком срок за свой счет. При отказе Исполнителя от составления или подписания акта выявленных недостатков и необх</w:t>
            </w:r>
            <w:r>
              <w:rPr>
                <w:sz w:val="22"/>
                <w:szCs w:val="22"/>
              </w:rPr>
              <w:t>одимых доработок, для их подтверждения Заказчик проводит за счет Подрядчика квалифицированную экспертизу с привлечением экспертов, по итогам которой составляется соответствующий акт, фиксирующий затраты по устранению выявленных недостатков и необходимых до</w:t>
            </w:r>
            <w:r>
              <w:rPr>
                <w:sz w:val="22"/>
                <w:szCs w:val="22"/>
              </w:rPr>
              <w:t>работок.</w:t>
            </w:r>
          </w:p>
        </w:tc>
      </w:tr>
      <w:tr w:rsidR="00A14AE7">
        <w:trPr>
          <w:trHeight w:val="21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Количество экземпляров проектной документации</w:t>
            </w:r>
          </w:p>
        </w:tc>
        <w:tc>
          <w:tcPr>
            <w:tcW w:w="787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hd w:val="clear" w:color="auto" w:fill="FFFFFF"/>
              <w:spacing w:line="274" w:lineRule="exact"/>
              <w:ind w:left="121" w:right="162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(два) экземпляра на бумажном носителе</w:t>
            </w:r>
          </w:p>
          <w:p w:rsidR="00A14AE7" w:rsidRDefault="007D0AC9">
            <w:pPr>
              <w:ind w:left="121" w:right="303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(один) экземпляр на электронном носителе (текстовые материалы передаются в формате, согласованном с заказчиком, графические материалы – как растровые файлы в формате </w:t>
            </w:r>
            <w:r>
              <w:rPr>
                <w:sz w:val="22"/>
                <w:szCs w:val="22"/>
                <w:lang w:val="en-US"/>
              </w:rPr>
              <w:t>PDF</w:t>
            </w:r>
            <w:r>
              <w:rPr>
                <w:sz w:val="22"/>
                <w:szCs w:val="22"/>
              </w:rPr>
              <w:t xml:space="preserve">, без сжатия разрешением 300 </w:t>
            </w:r>
            <w:proofErr w:type="spellStart"/>
            <w:r>
              <w:rPr>
                <w:sz w:val="22"/>
                <w:szCs w:val="22"/>
              </w:rPr>
              <w:t>dpi</w:t>
            </w:r>
            <w:proofErr w:type="spellEnd"/>
            <w:r>
              <w:rPr>
                <w:sz w:val="22"/>
                <w:szCs w:val="22"/>
              </w:rPr>
              <w:t xml:space="preserve"> при сохранении натурального размера файла в масштабе</w:t>
            </w:r>
            <w:r>
              <w:rPr>
                <w:sz w:val="22"/>
                <w:szCs w:val="22"/>
              </w:rPr>
              <w:t xml:space="preserve"> вывода на печать).</w:t>
            </w:r>
          </w:p>
        </w:tc>
      </w:tr>
      <w:tr w:rsidR="00A14AE7">
        <w:trPr>
          <w:trHeight w:val="93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на проектирование и установку УУТЭ</w:t>
            </w:r>
          </w:p>
        </w:tc>
        <w:tc>
          <w:tcPr>
            <w:tcW w:w="787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hd w:val="clear" w:color="auto" w:fill="FFFFFF"/>
              <w:spacing w:line="274" w:lineRule="exact"/>
              <w:ind w:left="121" w:right="1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условия на проектирование узлов учета тепловой энергии № 4987 от 22.11.2024 г., выданные АО «УСТЭК-Челябинск».</w:t>
            </w:r>
          </w:p>
          <w:p w:rsidR="00A14AE7" w:rsidRDefault="00A14AE7">
            <w:pPr>
              <w:shd w:val="clear" w:color="auto" w:fill="FFFFFF"/>
              <w:spacing w:line="274" w:lineRule="exact"/>
              <w:ind w:left="121" w:right="162"/>
              <w:jc w:val="both"/>
              <w:rPr>
                <w:sz w:val="22"/>
                <w:szCs w:val="22"/>
              </w:rPr>
            </w:pPr>
          </w:p>
        </w:tc>
      </w:tr>
      <w:tr w:rsidR="00A14AE7">
        <w:trPr>
          <w:trHeight w:val="178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Граница раздела балансовой принадлежности и </w:t>
            </w:r>
            <w:r>
              <w:rPr>
                <w:sz w:val="22"/>
                <w:szCs w:val="22"/>
              </w:rPr>
              <w:t>эксплуатационной ответственности: наружная стена здания</w:t>
            </w:r>
          </w:p>
        </w:tc>
        <w:tc>
          <w:tcPr>
            <w:tcW w:w="787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Акт разграничения балансовой принадлежности и эксплуатационной ответственности сторон (приложение №2 к Дополнительному соглашению №2 от 05.02.2024 г. к договору теплоснабжения № Т-514931 от 21.0120</w:t>
            </w:r>
            <w:r>
              <w:rPr>
                <w:sz w:val="22"/>
                <w:szCs w:val="22"/>
              </w:rPr>
              <w:t>20 г.)</w:t>
            </w:r>
          </w:p>
          <w:p w:rsidR="00A14AE7" w:rsidRDefault="00A14AE7">
            <w:pPr>
              <w:shd w:val="clear" w:color="auto" w:fill="FFFFFF"/>
              <w:spacing w:line="274" w:lineRule="exact"/>
              <w:ind w:right="162"/>
              <w:rPr>
                <w:sz w:val="22"/>
                <w:szCs w:val="22"/>
              </w:rPr>
            </w:pPr>
          </w:p>
          <w:p w:rsidR="00A14AE7" w:rsidRDefault="00A14AE7">
            <w:pPr>
              <w:shd w:val="clear" w:color="auto" w:fill="FFFFFF"/>
              <w:spacing w:line="274" w:lineRule="exact"/>
              <w:ind w:right="162"/>
              <w:rPr>
                <w:sz w:val="22"/>
                <w:szCs w:val="22"/>
              </w:rPr>
            </w:pPr>
          </w:p>
        </w:tc>
      </w:tr>
      <w:tr w:rsidR="00A14AE7">
        <w:trPr>
          <w:trHeight w:val="21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Тепловая нагрузка</w:t>
            </w:r>
          </w:p>
        </w:tc>
        <w:tc>
          <w:tcPr>
            <w:tcW w:w="787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pStyle w:val="af"/>
              <w:shd w:val="clear" w:color="auto" w:fill="FFFFFF"/>
              <w:spacing w:line="274" w:lineRule="exact"/>
              <w:ind w:right="162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Тепловая нагрузка по каждому виду: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- на отопление: </w:t>
            </w:r>
            <w:r>
              <w:rPr>
                <w:iCs/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Cs/>
                <w:sz w:val="22"/>
                <w:szCs w:val="22"/>
                <w:u w:val="single"/>
              </w:rPr>
              <w:t>0.029</w:t>
            </w:r>
            <w:r>
              <w:rPr>
                <w:iCs/>
                <w:sz w:val="22"/>
                <w:szCs w:val="22"/>
              </w:rPr>
              <w:t xml:space="preserve"> Гкал/ч;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- на вентиляцию: </w:t>
            </w:r>
            <w:r>
              <w:rPr>
                <w:iCs/>
                <w:sz w:val="22"/>
                <w:szCs w:val="22"/>
                <w:lang w:val="en-US"/>
              </w:rPr>
              <w:t>Q</w:t>
            </w:r>
            <w:r>
              <w:rPr>
                <w:iCs/>
                <w:sz w:val="22"/>
                <w:szCs w:val="22"/>
              </w:rPr>
              <w:t xml:space="preserve"> =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  <w:u w:val="single"/>
              </w:rPr>
              <w:t>0,0</w:t>
            </w:r>
            <w:r>
              <w:rPr>
                <w:iCs/>
                <w:sz w:val="22"/>
                <w:szCs w:val="22"/>
              </w:rPr>
              <w:t xml:space="preserve"> Гкал/ч;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- на ГВС (подогрев холодной воды): </w:t>
            </w:r>
            <w:r>
              <w:rPr>
                <w:iCs/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Cs/>
                <w:sz w:val="22"/>
                <w:szCs w:val="22"/>
                <w:u w:val="single"/>
              </w:rPr>
              <w:t>0.065</w:t>
            </w:r>
            <w:r>
              <w:rPr>
                <w:iCs/>
                <w:sz w:val="22"/>
                <w:szCs w:val="22"/>
              </w:rPr>
              <w:t xml:space="preserve"> Гкал/ч.</w:t>
            </w:r>
          </w:p>
          <w:p w:rsidR="00A14AE7" w:rsidRDefault="00A14AE7">
            <w:pPr>
              <w:shd w:val="clear" w:color="auto" w:fill="FFFFFF"/>
              <w:spacing w:line="274" w:lineRule="exact"/>
              <w:ind w:right="162"/>
              <w:jc w:val="both"/>
              <w:rPr>
                <w:sz w:val="22"/>
                <w:szCs w:val="22"/>
              </w:rPr>
            </w:pPr>
          </w:p>
        </w:tc>
      </w:tr>
      <w:tr w:rsidR="00A14AE7">
        <w:trPr>
          <w:trHeight w:val="21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теплоносителя</w:t>
            </w:r>
          </w:p>
        </w:tc>
        <w:tc>
          <w:tcPr>
            <w:tcW w:w="787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              Расчетные параметры теплоносителя в точке поставки: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- расход теплоносителя зима: </w:t>
            </w:r>
            <w:r>
              <w:rPr>
                <w:iCs/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Cs/>
                <w:sz w:val="22"/>
                <w:szCs w:val="22"/>
                <w:u w:val="single"/>
              </w:rPr>
              <w:t>1.567</w:t>
            </w:r>
            <w:r>
              <w:rPr>
                <w:iCs/>
                <w:sz w:val="22"/>
                <w:szCs w:val="22"/>
              </w:rPr>
              <w:t xml:space="preserve"> т/ч;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- расход теплоносителя лето: </w:t>
            </w:r>
            <w:r>
              <w:rPr>
                <w:iCs/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Cs/>
                <w:sz w:val="22"/>
                <w:szCs w:val="22"/>
                <w:u w:val="single"/>
              </w:rPr>
              <w:t>2.6</w:t>
            </w:r>
            <w:r>
              <w:rPr>
                <w:iCs/>
                <w:sz w:val="22"/>
                <w:szCs w:val="22"/>
              </w:rPr>
              <w:t xml:space="preserve"> т/ч;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- давление в подающем трубопроводе макс/мин: Р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Cs/>
                <w:sz w:val="22"/>
                <w:szCs w:val="22"/>
                <w:u w:val="single"/>
              </w:rPr>
              <w:t>10.6/5.3</w:t>
            </w:r>
            <w:r>
              <w:rPr>
                <w:iCs/>
                <w:sz w:val="22"/>
                <w:szCs w:val="22"/>
              </w:rPr>
              <w:t xml:space="preserve"> кгс/см</w:t>
            </w:r>
            <w:r>
              <w:rPr>
                <w:iCs/>
                <w:sz w:val="22"/>
                <w:szCs w:val="22"/>
                <w:vertAlign w:val="superscript"/>
              </w:rPr>
              <w:t>2</w:t>
            </w:r>
            <w:r>
              <w:rPr>
                <w:iCs/>
                <w:sz w:val="22"/>
                <w:szCs w:val="22"/>
              </w:rPr>
              <w:t>;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</w:t>
            </w:r>
            <w:r>
              <w:rPr>
                <w:iCs/>
                <w:sz w:val="22"/>
                <w:szCs w:val="22"/>
              </w:rPr>
              <w:t xml:space="preserve">       - давление в обратном трубопроводе макс/мин: Р</w:t>
            </w:r>
            <w:r>
              <w:rPr>
                <w:sz w:val="22"/>
                <w:szCs w:val="22"/>
              </w:rPr>
              <w:t xml:space="preserve"> = </w:t>
            </w:r>
            <w:r>
              <w:rPr>
                <w:iCs/>
                <w:sz w:val="22"/>
                <w:szCs w:val="22"/>
                <w:u w:val="single"/>
              </w:rPr>
              <w:t>6.6/3.3</w:t>
            </w:r>
            <w:r>
              <w:rPr>
                <w:iCs/>
                <w:sz w:val="22"/>
                <w:szCs w:val="22"/>
              </w:rPr>
              <w:t xml:space="preserve"> кгс/см</w:t>
            </w:r>
            <w:r>
              <w:rPr>
                <w:iCs/>
                <w:sz w:val="22"/>
                <w:szCs w:val="22"/>
                <w:vertAlign w:val="superscript"/>
              </w:rPr>
              <w:t>3</w:t>
            </w:r>
            <w:r>
              <w:rPr>
                <w:iCs/>
                <w:sz w:val="22"/>
                <w:szCs w:val="22"/>
              </w:rPr>
              <w:t>;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- давление источника тепловой энергии: Р = 15 кгс/см</w:t>
            </w:r>
            <w:r>
              <w:rPr>
                <w:iCs/>
                <w:sz w:val="22"/>
                <w:szCs w:val="22"/>
                <w:vertAlign w:val="superscript"/>
              </w:rPr>
              <w:t>2</w:t>
            </w:r>
            <w:r>
              <w:rPr>
                <w:iCs/>
                <w:sz w:val="22"/>
                <w:szCs w:val="22"/>
              </w:rPr>
              <w:t>;</w:t>
            </w:r>
          </w:p>
          <w:p w:rsidR="00A14AE7" w:rsidRDefault="007D0AC9">
            <w:pPr>
              <w:shd w:val="clear" w:color="auto" w:fill="FFFFFF"/>
              <w:spacing w:line="274" w:lineRule="exact"/>
              <w:ind w:right="162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- возможный диапазон температур в подающем и обратном трубопроводе макс/мин: Т= 130/10 °С.</w:t>
            </w:r>
          </w:p>
          <w:p w:rsidR="00A14AE7" w:rsidRDefault="007D0AC9">
            <w:pPr>
              <w:shd w:val="clear" w:color="auto" w:fill="FFFFFF"/>
              <w:spacing w:line="274" w:lineRule="exact"/>
              <w:ind w:left="432" w:right="16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- температу</w:t>
            </w:r>
            <w:r>
              <w:rPr>
                <w:sz w:val="22"/>
                <w:szCs w:val="22"/>
              </w:rPr>
              <w:t xml:space="preserve">рный график (режим отпуска тепла): качественное регулирование по отопительному графику </w:t>
            </w:r>
            <w:r>
              <w:rPr>
                <w:iCs/>
                <w:sz w:val="22"/>
                <w:szCs w:val="22"/>
                <w:u w:val="single"/>
              </w:rPr>
              <w:t>130 / 70</w:t>
            </w:r>
            <w:r>
              <w:rPr>
                <w:iCs/>
                <w:sz w:val="22"/>
                <w:szCs w:val="22"/>
              </w:rPr>
              <w:t>°</w:t>
            </w:r>
            <w:r>
              <w:rPr>
                <w:sz w:val="22"/>
                <w:szCs w:val="22"/>
              </w:rPr>
              <w:t>С.</w:t>
            </w:r>
          </w:p>
          <w:p w:rsidR="00A14AE7" w:rsidRDefault="007D0AC9">
            <w:pPr>
              <w:shd w:val="clear" w:color="auto" w:fill="FFFFFF"/>
              <w:spacing w:line="274" w:lineRule="exact"/>
              <w:ind w:left="121" w:right="162" w:firstLine="26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 температурный график в летний период: </w:t>
            </w:r>
            <w:r>
              <w:rPr>
                <w:sz w:val="22"/>
                <w:szCs w:val="22"/>
                <w:u w:val="single"/>
              </w:rPr>
              <w:t xml:space="preserve">70/45 </w:t>
            </w:r>
            <w:r>
              <w:rPr>
                <w:iCs/>
                <w:sz w:val="22"/>
                <w:szCs w:val="22"/>
                <w:u w:val="single"/>
              </w:rPr>
              <w:t>°</w:t>
            </w:r>
            <w:r>
              <w:rPr>
                <w:iCs/>
                <w:sz w:val="22"/>
                <w:szCs w:val="22"/>
              </w:rPr>
              <w:t>С.</w:t>
            </w:r>
          </w:p>
        </w:tc>
      </w:tr>
      <w:tr w:rsidR="00A14AE7">
        <w:trPr>
          <w:trHeight w:val="21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системы теплоснабжения</w:t>
            </w:r>
          </w:p>
        </w:tc>
        <w:tc>
          <w:tcPr>
            <w:tcW w:w="78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shd w:val="clear" w:color="auto" w:fill="FFFFFF"/>
              <w:spacing w:line="274" w:lineRule="exact"/>
              <w:ind w:left="121" w:right="162" w:firstLine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Двухтрубная с нижней разводкой</w:t>
            </w:r>
          </w:p>
        </w:tc>
      </w:tr>
      <w:tr w:rsidR="00A14AE7">
        <w:trPr>
          <w:trHeight w:val="76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A14AE7">
            <w:pPr>
              <w:rPr>
                <w:sz w:val="22"/>
                <w:szCs w:val="22"/>
              </w:rPr>
            </w:pPr>
          </w:p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присоединения системы отопления</w:t>
            </w:r>
          </w:p>
          <w:p w:rsidR="00A14AE7" w:rsidRDefault="00A14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right="3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Зависимая</w:t>
            </w:r>
          </w:p>
        </w:tc>
      </w:tr>
      <w:tr w:rsidR="00A14AE7">
        <w:trPr>
          <w:trHeight w:val="37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Схемы присоединения ГВС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right="3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Параллельная, без циркуляции</w:t>
            </w:r>
          </w:p>
        </w:tc>
      </w:tr>
      <w:tr w:rsidR="00A14AE7">
        <w:trPr>
          <w:trHeight w:val="37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Рекомендации по размещению и выбору средств измерений (далее - СИ) узла учета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Узел учета и СИ в его составе должны соответствовать требованиям Правил учета.</w:t>
            </w:r>
            <w:r>
              <w:rPr>
                <w:sz w:val="22"/>
                <w:szCs w:val="22"/>
              </w:rPr>
              <w:br w:type="page"/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Монтаж СИ производить в соответствии с требованиями технической, проектной документации и инструкциями завода изготовителя СИ.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Узел учёта должен располагаться после границы балансовой принадлежности сетей, быть максимально к ней приближен (с учётом т</w:t>
            </w:r>
            <w:r>
              <w:rPr>
                <w:sz w:val="22"/>
                <w:szCs w:val="22"/>
              </w:rPr>
              <w:t xml:space="preserve">ребований к прямолинейным участкам трубопроводов до и после расходомеров) и обеспечивать учёт всей подключенной тепловой нагрузки. Рекомендуется длины прямолинейных участков до и после расходомеров увеличить не менее чем в 1,5 раза от минимально возможных </w:t>
            </w:r>
            <w:r>
              <w:rPr>
                <w:sz w:val="22"/>
                <w:szCs w:val="22"/>
              </w:rPr>
              <w:t>по требованиям технической документации от производителя расходомеров.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Потери давления в зоне установки расходомеров по каждому трубопроводу не должны превышать 0,5 м. вод. ст.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Условия окружающей среды в месте размещения СИ должны соответствовать экс</w:t>
            </w:r>
            <w:r>
              <w:rPr>
                <w:sz w:val="22"/>
                <w:szCs w:val="22"/>
              </w:rPr>
              <w:t>плуатационным требованиям, согласно техническим требованиям руководств (инструкций) по эксплуатации.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Конструкция теплосчетчиков и приборов учета, входящих в состав теплосчетчиков, должна обеспечивать ограничение доступа к их частям в целях предотвращени</w:t>
            </w:r>
            <w:r>
              <w:rPr>
                <w:sz w:val="22"/>
                <w:szCs w:val="22"/>
              </w:rPr>
              <w:t xml:space="preserve">я несанкционированной настройки и вмешательства. Монтаж </w:t>
            </w:r>
            <w:r>
              <w:rPr>
                <w:sz w:val="22"/>
                <w:szCs w:val="22"/>
              </w:rPr>
              <w:lastRenderedPageBreak/>
              <w:t xml:space="preserve">электронных блоков СИ, блоков питания, автоматов подачи напряжения питания и т.п. рекомендуется выполнить в отдельном металлической шкафу со степенью защиты не ниже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>56, исключающем несанкционированн</w:t>
            </w:r>
            <w:r>
              <w:rPr>
                <w:sz w:val="22"/>
                <w:szCs w:val="22"/>
              </w:rPr>
              <w:t>ый доступ к указанному оборудованию.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Диапазоны измерений, применяемых СИ должны соответствовать договорным ограничениям и возможным значениям измеряемых (расчетных) параметров теплоносителя как в отопительном, так и </w:t>
            </w:r>
            <w:proofErr w:type="spellStart"/>
            <w:r>
              <w:rPr>
                <w:sz w:val="22"/>
                <w:szCs w:val="22"/>
              </w:rPr>
              <w:t>межотопительном</w:t>
            </w:r>
            <w:proofErr w:type="spellEnd"/>
            <w:r>
              <w:rPr>
                <w:sz w:val="22"/>
                <w:szCs w:val="22"/>
              </w:rPr>
              <w:t xml:space="preserve"> периодах.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Все СИ д</w:t>
            </w:r>
            <w:r>
              <w:rPr>
                <w:sz w:val="22"/>
                <w:szCs w:val="22"/>
              </w:rPr>
              <w:t xml:space="preserve">олжны иметь методику поверки, утвержденную в установленном порядке, </w:t>
            </w:r>
            <w:proofErr w:type="spellStart"/>
            <w:r>
              <w:rPr>
                <w:sz w:val="22"/>
                <w:szCs w:val="22"/>
              </w:rPr>
              <w:t>межповерочный</w:t>
            </w:r>
            <w:proofErr w:type="spellEnd"/>
            <w:r>
              <w:rPr>
                <w:sz w:val="22"/>
                <w:szCs w:val="22"/>
              </w:rPr>
              <w:t xml:space="preserve"> интервал не менее 4-х лет и действующее на момент ввода в эксплуатацию свидетельство об утверждении типа СИ (должны быть внесены в </w:t>
            </w:r>
            <w:proofErr w:type="spellStart"/>
            <w:r>
              <w:rPr>
                <w:sz w:val="22"/>
                <w:szCs w:val="22"/>
              </w:rPr>
              <w:t>Госреестр</w:t>
            </w:r>
            <w:proofErr w:type="spellEnd"/>
            <w:r>
              <w:rPr>
                <w:sz w:val="22"/>
                <w:szCs w:val="22"/>
              </w:rPr>
              <w:t xml:space="preserve"> СИ РФ).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Все СИ должны иметь от</w:t>
            </w:r>
            <w:r>
              <w:rPr>
                <w:sz w:val="22"/>
                <w:szCs w:val="22"/>
              </w:rPr>
              <w:t>дельные места пломбирования, для защиты от несанкционированного доступа.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Применять типы </w:t>
            </w:r>
            <w:proofErr w:type="spellStart"/>
            <w:r>
              <w:rPr>
                <w:sz w:val="22"/>
                <w:szCs w:val="22"/>
              </w:rPr>
              <w:t>тепловычислителей</w:t>
            </w:r>
            <w:proofErr w:type="spellEnd"/>
            <w:r>
              <w:rPr>
                <w:sz w:val="22"/>
                <w:szCs w:val="22"/>
              </w:rPr>
              <w:t>, соответствующие Правилам учета, в части требований «Методики осуществления коммерческого учета тепловой энергии, теплоносителя», утвержденной Прик</w:t>
            </w:r>
            <w:r>
              <w:rPr>
                <w:sz w:val="22"/>
                <w:szCs w:val="22"/>
              </w:rPr>
              <w:t>азом Министерства строительства и жилищно-коммунального хозяйства РФ от 17.03.2014 № 99/пр., укомплектованные соответствующими первичными преобразователями и соответствующие настоящим ТУ.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По принципу действия с точки зрения надежности, простоты и удобст</w:t>
            </w:r>
            <w:r>
              <w:rPr>
                <w:sz w:val="22"/>
                <w:szCs w:val="22"/>
              </w:rPr>
              <w:t>ва обслуживания рекомендуется в узлах коммерческого учета потребителей применять ультразвуковые или электромагнитные расходомеры с импульсным или частотным выходом, имеющие сертификат соответствия Госстандарта РФ.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Рекомендуется применять парные комплект</w:t>
            </w:r>
            <w:r>
              <w:rPr>
                <w:sz w:val="22"/>
                <w:szCs w:val="22"/>
              </w:rPr>
              <w:t>ы преобразователей температуры теплоносителя.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Контрольные кабели и кабели питания СИ не должны иметь промежуточных соединений на всей своей длине.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Рекомендуется предусмотреть формирование полного отчета о теплопотреблении, содержащего данные, в том ч</w:t>
            </w:r>
            <w:r>
              <w:rPr>
                <w:sz w:val="22"/>
                <w:szCs w:val="22"/>
              </w:rPr>
              <w:t xml:space="preserve">исле о времени начала и окончания, нештатных ситуаций с </w:t>
            </w:r>
            <w:proofErr w:type="spellStart"/>
            <w:r>
              <w:rPr>
                <w:sz w:val="22"/>
                <w:szCs w:val="22"/>
              </w:rPr>
              <w:t>тепловычислителем</w:t>
            </w:r>
            <w:proofErr w:type="spellEnd"/>
            <w:r>
              <w:rPr>
                <w:sz w:val="22"/>
                <w:szCs w:val="22"/>
              </w:rPr>
              <w:t xml:space="preserve">, с использованием программного обеспечения, предоставленного заводом - изготовителем </w:t>
            </w:r>
            <w:proofErr w:type="spellStart"/>
            <w:r>
              <w:rPr>
                <w:sz w:val="22"/>
                <w:szCs w:val="22"/>
              </w:rPr>
              <w:t>тепловычислителя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14AE7">
        <w:trPr>
          <w:trHeight w:val="466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bCs/>
                <w:sz w:val="22"/>
                <w:szCs w:val="22"/>
              </w:rPr>
            </w:pPr>
            <w:bookmarkStart w:id="1" w:name="bookmark0"/>
            <w:r>
              <w:rPr>
                <w:bCs/>
                <w:sz w:val="22"/>
                <w:szCs w:val="22"/>
              </w:rPr>
              <w:lastRenderedPageBreak/>
              <w:t>Требовании к проекту на узел коммерческого учета.</w:t>
            </w:r>
            <w:bookmarkEnd w:id="1"/>
          </w:p>
          <w:p w:rsidR="00A14AE7" w:rsidRDefault="00A14A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Проект узла учёта тепловой энергии должен соответствовать требованиям: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ТУ на проектирование узлов учета тепловой энергии № 4987 от 22.11.2024 г., выданные АО «УСТЭК-Челябинск»;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Правил учета;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ГОСТ 21.602-2016 «Правила выполнения рабочей докум</w:t>
            </w:r>
            <w:r>
              <w:rPr>
                <w:sz w:val="22"/>
                <w:szCs w:val="22"/>
              </w:rPr>
              <w:t>ентации отопления, вентиляции и кондиционирования»;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ГОСТ 21.408-2013 «Правила выполнения рабочей документации автоматизации </w:t>
            </w:r>
            <w:r>
              <w:rPr>
                <w:bCs/>
                <w:sz w:val="22"/>
                <w:szCs w:val="22"/>
              </w:rPr>
              <w:t>технологических процессов»;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ГОСТ 21.101-2020 «Система проектной документации для строительства. Основные требования к проектно</w:t>
            </w:r>
            <w:r>
              <w:rPr>
                <w:bCs/>
                <w:sz w:val="22"/>
                <w:szCs w:val="22"/>
              </w:rPr>
              <w:t>й и рабочей документации»;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СП 124.13330.2012 "Тепловые сети. Актуализированная редакция СНиП 41-02-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2003";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Постановление Правительства РФ от 16.02.2008 </w:t>
            </w:r>
            <w:r>
              <w:rPr>
                <w:bCs/>
                <w:sz w:val="22"/>
                <w:szCs w:val="22"/>
                <w:lang w:val="en-US"/>
              </w:rPr>
              <w:t>N</w:t>
            </w:r>
            <w:r>
              <w:rPr>
                <w:bCs/>
                <w:sz w:val="22"/>
                <w:szCs w:val="22"/>
              </w:rPr>
              <w:t xml:space="preserve"> 87 "О составе разделов проектной документации и требованиях к их содержанию";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СП 76.13330.201</w:t>
            </w:r>
            <w:r>
              <w:rPr>
                <w:bCs/>
                <w:sz w:val="22"/>
                <w:szCs w:val="22"/>
              </w:rPr>
              <w:t>6 «Электротехнические устройства»;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СП 77.13330.2016 «Системы автоматизации»;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ГОСТ 2.701-2008 «Единая система конструкторской документации. Схемы. Виды и типы. Общие требования к выполнению»;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ГОСТ 21.208-2013 «Система проектной документации для стр</w:t>
            </w:r>
            <w:r>
              <w:rPr>
                <w:bCs/>
                <w:sz w:val="22"/>
                <w:szCs w:val="22"/>
              </w:rPr>
              <w:t>оительства (СПДС). Автоматизация технологических процессов. Обозначения условные приборов и средств автоматизации в схемах»;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ГОСТ 21.110-2013 «Система проектной документации для строительства (СПДС). Спецификация оборудования, изделий и материалов»;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</w:t>
            </w:r>
            <w:r>
              <w:rPr>
                <w:bCs/>
                <w:sz w:val="22"/>
                <w:szCs w:val="22"/>
              </w:rPr>
              <w:t>«Правил технической эксплуатации тепловых энергоустановок» 2003г.;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СП 41-101-95 «Проектирование тепловых пунктов».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Проект должен быть согласован с теплоснабжающей организацией АО «УСТЭК-Челябинск» до поставки СИ и начала производства монтажных работ;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 - Проект узла учета должен содержать расчёт потерь тепловой энергии, теплоносителя в тепловых сетях заявителя от границы балансовой принадлежности до точки учёта, подтверждённой технической или проектной документацией, который производится согласно ст. 3</w:t>
            </w:r>
            <w:r>
              <w:rPr>
                <w:bCs/>
                <w:sz w:val="22"/>
                <w:szCs w:val="22"/>
              </w:rPr>
              <w:t>5 постановления Правительства Российской Федерации от 8.08.2012 № 808 "Об организации теплоснабжения в Российской Федерации о внесении изменений в некоторые акты Правительства Российской Федерации" в соответствии с Федеральным законом «О теплоснабжении».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- На схеме тепловых сетей в проекте узла учёта указать длины и диаметры трубопроводов от границы балансовой принадлежности до места установки преобразователей расхода теплоносителя и после них на протяженности не менее 30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Dy</w:t>
            </w:r>
            <w:proofErr w:type="spellEnd"/>
            <w:r>
              <w:rPr>
                <w:bCs/>
                <w:sz w:val="22"/>
                <w:szCs w:val="22"/>
              </w:rPr>
              <w:t xml:space="preserve"> трубопровода.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Проектом преду</w:t>
            </w:r>
            <w:r>
              <w:rPr>
                <w:bCs/>
                <w:sz w:val="22"/>
                <w:szCs w:val="22"/>
              </w:rPr>
              <w:t>смотреть технические решения по соблюдению условий эксплуатации СИ.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Проектом предусмотреть организацию передачи данных узла коммерческого учёта в АСКУТЭ АО «УСТЭК-Челябинск».</w:t>
            </w:r>
          </w:p>
          <w:p w:rsidR="00A14AE7" w:rsidRDefault="00A14AE7">
            <w:pPr>
              <w:ind w:right="303"/>
              <w:jc w:val="both"/>
              <w:rPr>
                <w:sz w:val="22"/>
                <w:szCs w:val="22"/>
              </w:rPr>
            </w:pPr>
          </w:p>
        </w:tc>
      </w:tr>
      <w:tr w:rsidR="00A14AE7">
        <w:trPr>
          <w:trHeight w:val="12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Проект узла учёта тепловой энергии, теплоносителя должен содержать</w:t>
            </w:r>
          </w:p>
        </w:tc>
        <w:tc>
          <w:tcPr>
            <w:tcW w:w="7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 xml:space="preserve">ТУ на </w:t>
            </w:r>
            <w:r>
              <w:rPr>
                <w:sz w:val="22"/>
                <w:szCs w:val="22"/>
              </w:rPr>
              <w:t>проектирование узлов учета тепловой энергии № 4987 от 22.11.2024 г., выданные АО «УСТЭК-Челябинск»;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копию договора теплоснабжения с приложением актов разграничения балансовой принадлежности и сведения о расчетных нагрузках для действующих объектов. Для </w:t>
            </w:r>
            <w:r>
              <w:rPr>
                <w:bCs/>
                <w:sz w:val="22"/>
                <w:szCs w:val="22"/>
              </w:rPr>
              <w:t>вновь вводимых в эксплуатацию объектов прилагаются сведения о проектных нагрузках или условиях подключения;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план подключения потребителя к тепловой сети;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принципиальную схему узла </w:t>
            </w:r>
            <w:r>
              <w:rPr>
                <w:sz w:val="22"/>
                <w:szCs w:val="22"/>
              </w:rPr>
              <w:t xml:space="preserve">учета </w:t>
            </w:r>
            <w:r>
              <w:rPr>
                <w:bCs/>
                <w:sz w:val="22"/>
                <w:szCs w:val="22"/>
              </w:rPr>
              <w:t>с указанием мест установки первичных преобразователей, размещени</w:t>
            </w:r>
            <w:r>
              <w:rPr>
                <w:bCs/>
                <w:sz w:val="22"/>
                <w:szCs w:val="22"/>
              </w:rPr>
              <w:t xml:space="preserve">я приборов </w:t>
            </w:r>
            <w:r>
              <w:rPr>
                <w:sz w:val="22"/>
                <w:szCs w:val="22"/>
              </w:rPr>
              <w:t xml:space="preserve">учёта </w:t>
            </w:r>
            <w:r>
              <w:rPr>
                <w:bCs/>
                <w:sz w:val="22"/>
                <w:szCs w:val="22"/>
              </w:rPr>
              <w:t>и схемы кабельных проводок;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электрические и монтажные схемы подключения приборов учёта;</w:t>
            </w:r>
          </w:p>
          <w:p w:rsidR="00A14AE7" w:rsidRDefault="007D0AC9">
            <w:pPr>
              <w:ind w:right="30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- настроечную базу данных, вводимую в </w:t>
            </w:r>
            <w:proofErr w:type="spellStart"/>
            <w:r>
              <w:rPr>
                <w:bCs/>
                <w:sz w:val="22"/>
                <w:szCs w:val="22"/>
              </w:rPr>
              <w:t>тепловычислитель</w:t>
            </w:r>
            <w:proofErr w:type="spellEnd"/>
            <w:r>
              <w:rPr>
                <w:bCs/>
                <w:sz w:val="22"/>
                <w:szCs w:val="22"/>
              </w:rPr>
              <w:t xml:space="preserve"> (в том числе при</w:t>
            </w:r>
            <w:r>
              <w:rPr>
                <w:bCs/>
                <w:sz w:val="22"/>
                <w:szCs w:val="22"/>
              </w:rPr>
              <w:br w:type="page"/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переходе на летний и зимний режимы работы);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схему пломбирования средств</w:t>
            </w:r>
            <w:r>
              <w:rPr>
                <w:sz w:val="22"/>
                <w:szCs w:val="22"/>
              </w:rPr>
              <w:t xml:space="preserve"> измерений и устройств, входящих в состав узла учета, в соответствии с п. 71 Правил учёта;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применяемые формулы расчёта тепловой энергии, теплоносителя;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расчет погрешностей определения количества тепловой энергии и теплоносителя, отпущенного по подающ</w:t>
            </w:r>
            <w:r>
              <w:rPr>
                <w:sz w:val="22"/>
                <w:szCs w:val="22"/>
              </w:rPr>
              <w:t xml:space="preserve">им трубопроводам и возвращенного по обратным трубопроводам в точках </w:t>
            </w:r>
            <w:proofErr w:type="spellStart"/>
            <w:r>
              <w:rPr>
                <w:sz w:val="22"/>
                <w:szCs w:val="22"/>
                <w:lang w:val="en-US"/>
              </w:rPr>
              <w:t>Gmin</w:t>
            </w:r>
            <w:proofErr w:type="spellEnd"/>
            <w:r>
              <w:rPr>
                <w:sz w:val="22"/>
                <w:szCs w:val="22"/>
              </w:rPr>
              <w:t>; 0.5*</w:t>
            </w:r>
            <w:proofErr w:type="spellStart"/>
            <w:r>
              <w:rPr>
                <w:sz w:val="22"/>
                <w:szCs w:val="22"/>
                <w:lang w:val="en-US"/>
              </w:rPr>
              <w:t>Gmax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  <w:lang w:val="en-US"/>
              </w:rPr>
              <w:t>Gmax</w:t>
            </w:r>
            <w:proofErr w:type="spellEnd"/>
            <w:r>
              <w:rPr>
                <w:sz w:val="22"/>
                <w:szCs w:val="22"/>
              </w:rPr>
              <w:t>, в соответствии с диапазоном измерений расходов счетчика жидкости, с учетом диапазона расчетных тепловых нагрузок и параметров теплоносителя в разных режимах работы те</w:t>
            </w:r>
            <w:r>
              <w:rPr>
                <w:sz w:val="22"/>
                <w:szCs w:val="22"/>
              </w:rPr>
              <w:t>плосети (минимальные и максимальные параметры температуры и давления теплоносителя в подающих и обратных трубопроводах на границе балансовой принадлежности должны быть взяты исходя из расчетных параметров соответствующих ответвлений тепловых сетей);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мон</w:t>
            </w:r>
            <w:r>
              <w:rPr>
                <w:sz w:val="22"/>
                <w:szCs w:val="22"/>
              </w:rPr>
              <w:t>тажные схемы установки расходомеров, датчиков температуры и датчиков давления с указанием расстояний между, указанными СИ, установленным оборудованием и местными сопротивлениями;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спецификацию применяемого оборудования и материалов.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расход теплоносите</w:t>
            </w:r>
            <w:r>
              <w:rPr>
                <w:sz w:val="22"/>
                <w:szCs w:val="22"/>
              </w:rPr>
              <w:t xml:space="preserve">ля по </w:t>
            </w:r>
            <w:proofErr w:type="spellStart"/>
            <w:r>
              <w:rPr>
                <w:sz w:val="22"/>
                <w:szCs w:val="22"/>
              </w:rPr>
              <w:t>теплопотребляющим</w:t>
            </w:r>
            <w:proofErr w:type="spellEnd"/>
            <w:r>
              <w:rPr>
                <w:sz w:val="22"/>
                <w:szCs w:val="22"/>
              </w:rPr>
              <w:t xml:space="preserve"> установкам по часам суток в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зимний и летний периоды;</w:t>
            </w:r>
          </w:p>
          <w:p w:rsidR="00A14AE7" w:rsidRDefault="007D0AC9">
            <w:pPr>
              <w:ind w:right="30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 таблицу суточных и месячных расходов тепловой энергии по </w:t>
            </w:r>
            <w:proofErr w:type="spellStart"/>
            <w:r>
              <w:rPr>
                <w:sz w:val="22"/>
                <w:szCs w:val="22"/>
              </w:rPr>
              <w:t>теплопотребляющим</w:t>
            </w:r>
            <w:proofErr w:type="spellEnd"/>
            <w:r>
              <w:rPr>
                <w:sz w:val="22"/>
                <w:szCs w:val="22"/>
              </w:rPr>
              <w:t xml:space="preserve"> установкам.</w:t>
            </w:r>
          </w:p>
        </w:tc>
      </w:tr>
    </w:tbl>
    <w:p w:rsidR="00A14AE7" w:rsidRDefault="00A14AE7">
      <w:pPr>
        <w:rPr>
          <w:sz w:val="22"/>
          <w:szCs w:val="22"/>
        </w:rPr>
      </w:pPr>
    </w:p>
    <w:p w:rsidR="00A14AE7" w:rsidRDefault="00A14AE7">
      <w:pPr>
        <w:rPr>
          <w:sz w:val="28"/>
          <w:szCs w:val="28"/>
        </w:rPr>
      </w:pPr>
    </w:p>
    <w:sectPr w:rsidR="00A14AE7">
      <w:pgSz w:w="11906" w:h="16838"/>
      <w:pgMar w:top="720" w:right="720" w:bottom="720" w:left="72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0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EB32DDC"/>
    <w:multiLevelType w:val="hybridMultilevel"/>
    <w:tmpl w:val="D9AC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1206B"/>
    <w:multiLevelType w:val="hybridMultilevel"/>
    <w:tmpl w:val="AEA0E64C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>
    <w:nsid w:val="39152503"/>
    <w:multiLevelType w:val="multilevel"/>
    <w:tmpl w:val="59E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86ABD"/>
    <w:multiLevelType w:val="hybridMultilevel"/>
    <w:tmpl w:val="2E5C0A0A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>
    <w:nsid w:val="546B5607"/>
    <w:multiLevelType w:val="multilevel"/>
    <w:tmpl w:val="FFD05B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B031B7"/>
    <w:multiLevelType w:val="multilevel"/>
    <w:tmpl w:val="FDC4021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7339C8"/>
    <w:multiLevelType w:val="hybridMultilevel"/>
    <w:tmpl w:val="09C88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966A7"/>
    <w:multiLevelType w:val="multilevel"/>
    <w:tmpl w:val="C716537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E05808"/>
    <w:multiLevelType w:val="multilevel"/>
    <w:tmpl w:val="E2F21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E7"/>
    <w:rsid w:val="007D0AC9"/>
    <w:rsid w:val="00A1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F7C4F7-61E8-4538-A132-E640B266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3">
    <w:name w:val="heading 3"/>
    <w:basedOn w:val="a"/>
    <w:next w:val="a0"/>
    <w:qFormat/>
    <w:pPr>
      <w:keepNext/>
      <w:keepLines/>
      <w:tabs>
        <w:tab w:val="num" w:pos="720"/>
      </w:tabs>
      <w:spacing w:before="40"/>
      <w:ind w:left="720" w:hanging="720"/>
      <w:outlineLvl w:val="2"/>
    </w:pPr>
    <w:rPr>
      <w:rFonts w:ascii="Cambria" w:hAnsi="Cambria" w:cs="font200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30">
    <w:name w:val="Заголовок 3 Знак"/>
    <w:rPr>
      <w:rFonts w:ascii="Cambria" w:hAnsi="Cambria" w:cs="font200"/>
      <w:color w:val="243F60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1"/>
      <w:u w:val="none"/>
      <w:vertAlign w:val="baseline"/>
    </w:rPr>
  </w:style>
  <w:style w:type="character" w:customStyle="1" w:styleId="ListLabel2">
    <w:name w:val="ListLabel 2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en-US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lang w:val="ru-RU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sz w:val="20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Style11">
    <w:name w:val="Style11"/>
    <w:basedOn w:val="a"/>
    <w:pPr>
      <w:widowControl w:val="0"/>
    </w:pPr>
    <w:rPr>
      <w:sz w:val="20"/>
      <w:szCs w:val="20"/>
      <w:lang w:eastAsia="hi-IN" w:bidi="hi-IN"/>
    </w:rPr>
  </w:style>
  <w:style w:type="paragraph" w:customStyle="1" w:styleId="12">
    <w:name w:val="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14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simple">
    <w:name w:val="simple"/>
    <w:basedOn w:val="a"/>
    <w:pPr>
      <w:spacing w:before="28" w:after="100"/>
    </w:pPr>
  </w:style>
  <w:style w:type="paragraph" w:customStyle="1" w:styleId="a8">
    <w:name w:val="Нормальный (таблица)"/>
    <w:basedOn w:val="a"/>
    <w:pPr>
      <w:widowControl w:val="0"/>
      <w:jc w:val="both"/>
    </w:pPr>
    <w:rPr>
      <w:rFonts w:ascii="Arial" w:hAnsi="Arial" w:cs="font200"/>
    </w:rPr>
  </w:style>
  <w:style w:type="paragraph" w:customStyle="1" w:styleId="a9">
    <w:name w:val="Прижатый влево"/>
    <w:basedOn w:val="a"/>
    <w:pPr>
      <w:widowControl w:val="0"/>
    </w:pPr>
    <w:rPr>
      <w:rFonts w:ascii="Arial" w:hAnsi="Arial" w:cs="font200"/>
    </w:rPr>
  </w:style>
  <w:style w:type="paragraph" w:customStyle="1" w:styleId="aa">
    <w:name w:val="Стиль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</w:style>
  <w:style w:type="paragraph" w:styleId="ac">
    <w:name w:val="Balloon Text"/>
    <w:basedOn w:val="a"/>
    <w:link w:val="15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c"/>
    <w:uiPriority w:val="99"/>
    <w:semiHidden/>
    <w:rPr>
      <w:rFonts w:ascii="Tahoma" w:hAnsi="Tahoma" w:cs="Tahoma"/>
      <w:kern w:val="1"/>
      <w:sz w:val="16"/>
      <w:szCs w:val="16"/>
      <w:lang w:eastAsia="ar-SA"/>
    </w:rPr>
  </w:style>
  <w:style w:type="character" w:styleId="ad">
    <w:name w:val="Emphasis"/>
    <w:qFormat/>
    <w:rPr>
      <w:i/>
      <w:iCs/>
    </w:rPr>
  </w:style>
  <w:style w:type="paragraph" w:styleId="ae">
    <w:name w:val="No Spacing"/>
    <w:qFormat/>
    <w:pPr>
      <w:suppressAutoHyphens/>
    </w:pPr>
    <w:rPr>
      <w:sz w:val="24"/>
      <w:szCs w:val="24"/>
      <w:lang w:eastAsia="zh-CN"/>
    </w:rPr>
  </w:style>
  <w:style w:type="paragraph" w:styleId="2">
    <w:name w:val="Quote"/>
    <w:basedOn w:val="a"/>
    <w:next w:val="a"/>
    <w:link w:val="20"/>
    <w:qFormat/>
    <w:pPr>
      <w:spacing w:line="240" w:lineRule="auto"/>
    </w:pPr>
    <w:rPr>
      <w:i/>
      <w:iCs/>
      <w:color w:val="000000"/>
      <w:kern w:val="0"/>
      <w:lang w:eastAsia="zh-CN"/>
    </w:rPr>
  </w:style>
  <w:style w:type="character" w:customStyle="1" w:styleId="20">
    <w:name w:val="Цитата 2 Знак"/>
    <w:basedOn w:val="a1"/>
    <w:link w:val="2"/>
    <w:rPr>
      <w:i/>
      <w:iCs/>
      <w:color w:val="000000"/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</dc:creator>
  <cp:lastModifiedBy>Астафьева Виктория Александровна</cp:lastModifiedBy>
  <cp:revision>33</cp:revision>
  <cp:lastPrinted>2024-10-02T09:17:00Z</cp:lastPrinted>
  <dcterms:created xsi:type="dcterms:W3CDTF">2024-10-10T09:45:00Z</dcterms:created>
  <dcterms:modified xsi:type="dcterms:W3CDTF">2025-02-14T08:37:00Z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Чебоксарское Горкомимущество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