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5D" w:rsidRDefault="00382452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Техническое задание на закупку №</w:t>
      </w:r>
      <w:r w:rsidR="00001BF9">
        <w:rPr>
          <w:rFonts w:eastAsiaTheme="minorHAnsi"/>
          <w:b/>
        </w:rPr>
        <w:t xml:space="preserve"> </w:t>
      </w:r>
      <w:r w:rsidR="00001BF9" w:rsidRPr="00001BF9">
        <w:rPr>
          <w:rFonts w:eastAsiaTheme="minorHAnsi"/>
          <w:b/>
        </w:rPr>
        <w:t>2406020507</w:t>
      </w:r>
      <w:r w:rsidR="00A65D70">
        <w:rPr>
          <w:rFonts w:eastAsiaTheme="minorHAnsi"/>
          <w:b/>
        </w:rPr>
        <w:t>7</w:t>
      </w:r>
    </w:p>
    <w:p w:rsidR="000C1B5D" w:rsidRDefault="00382452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 xml:space="preserve">на поставку </w:t>
      </w:r>
      <w:r w:rsidR="00A65D70" w:rsidRPr="00A65D70">
        <w:rPr>
          <w:rFonts w:eastAsiaTheme="minorHAnsi"/>
          <w:b/>
        </w:rPr>
        <w:t xml:space="preserve">реактивов для </w:t>
      </w:r>
      <w:proofErr w:type="spellStart"/>
      <w:r w:rsidR="00A65D70" w:rsidRPr="00A65D70">
        <w:rPr>
          <w:rFonts w:eastAsiaTheme="minorHAnsi"/>
          <w:b/>
        </w:rPr>
        <w:t>коагулологиче</w:t>
      </w:r>
      <w:r w:rsidR="00A65D70">
        <w:rPr>
          <w:rFonts w:eastAsiaTheme="minorHAnsi"/>
          <w:b/>
        </w:rPr>
        <w:t>ского</w:t>
      </w:r>
      <w:proofErr w:type="spellEnd"/>
      <w:r w:rsidR="00A65D70">
        <w:rPr>
          <w:rFonts w:eastAsiaTheme="minorHAnsi"/>
          <w:b/>
        </w:rPr>
        <w:t xml:space="preserve"> анализа для КДЛ на 2025г.</w:t>
      </w:r>
    </w:p>
    <w:p w:rsidR="000C1B5D" w:rsidRDefault="00382452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для нужд ЧУЗ «Клиническая больница «РЖД-Медицина» г. Оренбург»</w:t>
      </w:r>
    </w:p>
    <w:tbl>
      <w:tblPr>
        <w:tblpPr w:leftFromText="180" w:rightFromText="180" w:bottomFromText="200" w:vertAnchor="text" w:horzAnchor="margin" w:tblpY="211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674"/>
        <w:gridCol w:w="2552"/>
        <w:gridCol w:w="5527"/>
        <w:gridCol w:w="993"/>
        <w:gridCol w:w="709"/>
      </w:tblGrid>
      <w:tr w:rsidR="00A65D70" w:rsidTr="00A65D70">
        <w:trPr>
          <w:trHeight w:val="420"/>
        </w:trPr>
        <w:tc>
          <w:tcPr>
            <w:tcW w:w="104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5D70" w:rsidRDefault="00A65D70" w:rsidP="00A65D70">
            <w:pPr>
              <w:spacing w:line="276" w:lineRule="auto"/>
              <w:rPr>
                <w:rFonts w:eastAsia="SimSun"/>
                <w:bCs/>
                <w:color w:val="000000"/>
                <w:lang w:bidi="ar"/>
              </w:rPr>
            </w:pPr>
          </w:p>
        </w:tc>
      </w:tr>
      <w:tr w:rsidR="00A65D70" w:rsidTr="00A65D70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0" w:rsidRDefault="00A65D70" w:rsidP="00A65D70">
            <w:pPr>
              <w:spacing w:line="276" w:lineRule="auto"/>
              <w:jc w:val="center"/>
              <w:textAlignment w:val="center"/>
              <w:rPr>
                <w:bCs/>
                <w:color w:val="000000"/>
              </w:rPr>
            </w:pPr>
            <w:r>
              <w:rPr>
                <w:rFonts w:eastAsia="SimSun"/>
                <w:bCs/>
                <w:color w:val="000000"/>
                <w:lang w:val="en-US" w:bidi="ar"/>
              </w:rPr>
              <w:t>№</w:t>
            </w:r>
            <w:r>
              <w:rPr>
                <w:rFonts w:eastAsia="SimSun"/>
                <w:bCs/>
                <w:color w:val="000000"/>
                <w:lang w:val="en-US" w:bidi="ar"/>
              </w:rPr>
              <w:br/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0" w:rsidRDefault="00A65D70" w:rsidP="00A65D70">
            <w:pPr>
              <w:spacing w:line="276" w:lineRule="auto"/>
              <w:jc w:val="center"/>
              <w:textAlignment w:val="center"/>
              <w:rPr>
                <w:bCs/>
                <w:color w:val="000000"/>
              </w:rPr>
            </w:pPr>
            <w:proofErr w:type="spellStart"/>
            <w:r>
              <w:rPr>
                <w:rFonts w:eastAsia="SimSun"/>
                <w:bCs/>
                <w:color w:val="000000"/>
                <w:lang w:val="en-US" w:bidi="ar"/>
              </w:rPr>
              <w:t>Наименование</w:t>
            </w:r>
            <w:proofErr w:type="spellEnd"/>
            <w:r>
              <w:rPr>
                <w:rFonts w:eastAsia="SimSun"/>
                <w:bCs/>
                <w:color w:val="000000"/>
                <w:lang w:val="en-US" w:bidi="ar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000000"/>
                <w:lang w:val="en-US" w:bidi="ar"/>
              </w:rPr>
              <w:t>товара</w:t>
            </w:r>
            <w:proofErr w:type="spellEnd"/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0" w:rsidRDefault="00A65D70" w:rsidP="00A65D70">
            <w:pPr>
              <w:spacing w:line="276" w:lineRule="auto"/>
              <w:jc w:val="center"/>
              <w:textAlignment w:val="center"/>
              <w:rPr>
                <w:bCs/>
                <w:color w:val="000000"/>
              </w:rPr>
            </w:pPr>
            <w:proofErr w:type="spellStart"/>
            <w:r>
              <w:rPr>
                <w:rFonts w:eastAsia="SimSun"/>
                <w:bCs/>
                <w:color w:val="000000"/>
                <w:lang w:val="en-US" w:bidi="ar"/>
              </w:rPr>
              <w:t>Технические</w:t>
            </w:r>
            <w:proofErr w:type="spellEnd"/>
            <w:r>
              <w:rPr>
                <w:rFonts w:eastAsia="SimSun"/>
                <w:bCs/>
                <w:color w:val="000000"/>
                <w:lang w:val="en-US" w:bidi="ar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000000"/>
                <w:lang w:val="en-US" w:bidi="ar"/>
              </w:rPr>
              <w:t>характеристики</w:t>
            </w:r>
            <w:proofErr w:type="spellEnd"/>
            <w:r>
              <w:rPr>
                <w:rFonts w:eastAsia="SimSun"/>
                <w:bCs/>
                <w:color w:val="000000"/>
                <w:lang w:val="en-US" w:bidi="ar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000000"/>
                <w:lang w:val="en-US" w:bidi="ar"/>
              </w:rPr>
              <w:t>товара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0" w:rsidRDefault="00A65D70" w:rsidP="00A65D70">
            <w:pPr>
              <w:spacing w:line="276" w:lineRule="auto"/>
              <w:jc w:val="center"/>
              <w:textAlignment w:val="center"/>
              <w:rPr>
                <w:bCs/>
                <w:color w:val="000000"/>
              </w:rPr>
            </w:pPr>
            <w:proofErr w:type="spellStart"/>
            <w:r>
              <w:rPr>
                <w:rFonts w:eastAsia="SimSun"/>
                <w:bCs/>
                <w:color w:val="000000"/>
                <w:lang w:val="en-US" w:bidi="ar"/>
              </w:rPr>
              <w:t>Ед</w:t>
            </w:r>
            <w:proofErr w:type="spellEnd"/>
            <w:proofErr w:type="gramStart"/>
            <w:r>
              <w:rPr>
                <w:rFonts w:eastAsia="SimSun"/>
                <w:bCs/>
                <w:color w:val="000000"/>
                <w:lang w:val="en-US" w:bidi="ar"/>
              </w:rPr>
              <w:t>.</w:t>
            </w:r>
            <w:proofErr w:type="gramEnd"/>
            <w:r>
              <w:rPr>
                <w:rFonts w:eastAsia="SimSun"/>
                <w:bCs/>
                <w:color w:val="000000"/>
                <w:lang w:val="en-US" w:bidi="ar"/>
              </w:rPr>
              <w:br/>
            </w:r>
            <w:proofErr w:type="spellStart"/>
            <w:r>
              <w:rPr>
                <w:rFonts w:eastAsia="SimSun"/>
                <w:bCs/>
                <w:color w:val="000000"/>
                <w:lang w:val="en-US" w:bidi="ar"/>
              </w:rPr>
              <w:t>изм</w:t>
            </w:r>
            <w:proofErr w:type="spellEnd"/>
            <w:r>
              <w:rPr>
                <w:rFonts w:eastAsia="SimSun"/>
                <w:bCs/>
                <w:color w:val="000000"/>
                <w:lang w:val="en-US" w:bidi="a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0" w:rsidRDefault="00A65D70" w:rsidP="00A65D70">
            <w:pPr>
              <w:spacing w:line="276" w:lineRule="auto"/>
              <w:jc w:val="center"/>
              <w:textAlignment w:val="center"/>
              <w:rPr>
                <w:bCs/>
                <w:color w:val="000000"/>
              </w:rPr>
            </w:pPr>
            <w:proofErr w:type="spellStart"/>
            <w:r>
              <w:rPr>
                <w:rFonts w:eastAsia="SimSun"/>
                <w:bCs/>
                <w:color w:val="000000"/>
                <w:lang w:val="en-US" w:bidi="ar"/>
              </w:rPr>
              <w:t>Кол-во</w:t>
            </w:r>
            <w:proofErr w:type="spellEnd"/>
          </w:p>
        </w:tc>
      </w:tr>
      <w:tr w:rsidR="00A65D70" w:rsidTr="00A65D70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0" w:rsidRDefault="00A65D70" w:rsidP="00A65D70">
            <w:pPr>
              <w:spacing w:line="276" w:lineRule="auto"/>
              <w:jc w:val="center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Набор реагентов для определения активированного</w:t>
            </w:r>
          </w:p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 xml:space="preserve">парциального 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тромбопластинового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 xml:space="preserve"> времени </w:t>
            </w:r>
          </w:p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(TS-АПТВ)</w:t>
            </w:r>
          </w:p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</w:p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</w:p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Roboto" w:eastAsia="Calibri" w:hAnsi="Roboto"/>
                <w:color w:val="334059"/>
                <w:shd w:val="clear" w:color="auto" w:fill="FFFFFF"/>
                <w:lang w:eastAsia="ru-RU"/>
              </w:rPr>
            </w:pPr>
            <w:r>
              <w:rPr>
                <w:lang w:eastAsia="ru-RU"/>
              </w:rPr>
              <w:t xml:space="preserve">Набор реагентов и </w:t>
            </w:r>
            <w:proofErr w:type="gramStart"/>
            <w:r>
              <w:rPr>
                <w:lang w:eastAsia="ru-RU"/>
              </w:rPr>
              <w:t>других</w:t>
            </w:r>
            <w:proofErr w:type="gramEnd"/>
            <w:r>
              <w:rPr>
                <w:lang w:eastAsia="ru-RU"/>
              </w:rPr>
              <w:t xml:space="preserve"> связанных с ними материалов, предназначенный для количественного определения активированного частичного </w:t>
            </w:r>
            <w:proofErr w:type="spellStart"/>
            <w:r>
              <w:rPr>
                <w:lang w:eastAsia="ru-RU"/>
              </w:rPr>
              <w:t>тромбопластинового</w:t>
            </w:r>
            <w:proofErr w:type="spellEnd"/>
            <w:r>
              <w:rPr>
                <w:lang w:eastAsia="ru-RU"/>
              </w:rPr>
              <w:t xml:space="preserve"> времени клинического образца посредством анализа образования сгустка.</w:t>
            </w:r>
            <w:r>
              <w:rPr>
                <w:rFonts w:eastAsia="Calibri"/>
              </w:rPr>
              <w:t xml:space="preserve"> </w:t>
            </w:r>
            <w:r>
              <w:rPr>
                <w:lang w:eastAsia="ru-RU"/>
              </w:rPr>
              <w:t>К</w:t>
            </w:r>
            <w:r>
              <w:rPr>
                <w:rFonts w:eastAsia="Calibri"/>
                <w:lang w:eastAsia="ru-RU"/>
              </w:rPr>
              <w:t xml:space="preserve">оличество выполняемых тестов: 400 штук. </w:t>
            </w:r>
            <w:r>
              <w:rPr>
                <w:rFonts w:eastAsia="SimSun"/>
                <w:bCs/>
                <w:color w:val="000000"/>
                <w:lang w:bidi="ar"/>
              </w:rPr>
              <w:t>Состав: Реагент 1: АПТВ-реагент (жидкий реагент, содержащий фосфоли</w:t>
            </w:r>
            <w:r>
              <w:rPr>
                <w:rFonts w:eastAsia="SimSun"/>
                <w:bCs/>
                <w:color w:val="000000"/>
                <w:lang w:bidi="ar"/>
              </w:rPr>
              <w:softHyphen/>
              <w:t xml:space="preserve">пиды, 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элла</w:t>
            </w:r>
            <w:r>
              <w:rPr>
                <w:rFonts w:eastAsia="SimSun"/>
                <w:bCs/>
                <w:color w:val="000000"/>
                <w:lang w:bidi="ar"/>
              </w:rPr>
              <w:softHyphen/>
              <w:t>говую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 xml:space="preserve"> кислоту, буфер и стабилизаторы)- не менее 8 флаконов по не менее 5 мл; Реагент 2: Кальция хлорид (0,025 М раствор)  - не менее 4 флаконов по не менее10 мл. Совместимость с   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коагулометром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 xml:space="preserve">    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Technology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Solution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 xml:space="preserve"> 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65D70" w:rsidTr="00A65D70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0" w:rsidRDefault="00A65D70" w:rsidP="00A65D70">
            <w:pPr>
              <w:spacing w:line="276" w:lineRule="auto"/>
              <w:jc w:val="center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 xml:space="preserve">Набор реагентов  цитрат натрия 38%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 xml:space="preserve">Реагент  цитрат натрия предназначен для получения 0,109М раствора 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трехзамещенного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 xml:space="preserve"> лимоннокислого натрия, используемого для стабилизации венозной крови при проведении 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коагулологических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 xml:space="preserve"> тестов.</w:t>
            </w:r>
          </w:p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Состав набора:</w:t>
            </w:r>
          </w:p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Цитрат натрия, 1,05 – 1,15 М раствор (10 мл/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фл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>.) – 1 флакон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65D70" w:rsidTr="00A65D70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0" w:rsidRDefault="00A65D70" w:rsidP="00A65D70">
            <w:pPr>
              <w:spacing w:line="276" w:lineRule="auto"/>
              <w:jc w:val="center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70" w:rsidRDefault="00A65D70" w:rsidP="00A65D70">
            <w:pPr>
              <w:spacing w:line="276" w:lineRule="auto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Набор реагентов для определения концентрации</w:t>
            </w:r>
          </w:p>
          <w:p w:rsidR="00A65D70" w:rsidRDefault="00A65D70" w:rsidP="00A65D70">
            <w:pPr>
              <w:spacing w:line="276" w:lineRule="auto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 xml:space="preserve">фибриногена </w:t>
            </w:r>
          </w:p>
          <w:p w:rsidR="00A65D70" w:rsidRDefault="00A65D70" w:rsidP="00A65D70">
            <w:pPr>
              <w:spacing w:line="276" w:lineRule="auto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(</w:t>
            </w:r>
            <w:r>
              <w:rPr>
                <w:rFonts w:eastAsia="SimSun"/>
                <w:bCs/>
                <w:color w:val="000000"/>
                <w:lang w:val="en-US" w:bidi="ar"/>
              </w:rPr>
              <w:t>TS</w:t>
            </w:r>
            <w:r>
              <w:rPr>
                <w:rFonts w:eastAsia="SimSun"/>
                <w:bCs/>
                <w:color w:val="000000"/>
                <w:lang w:bidi="ar"/>
              </w:rPr>
              <w:t>-Фибриноген)</w:t>
            </w:r>
          </w:p>
          <w:p w:rsidR="00A65D70" w:rsidRDefault="00A65D70" w:rsidP="00A65D70">
            <w:pPr>
              <w:spacing w:line="276" w:lineRule="auto"/>
              <w:rPr>
                <w:rFonts w:eastAsia="SimSun"/>
                <w:bCs/>
                <w:color w:val="000000"/>
                <w:lang w:bidi="ar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Набор </w:t>
            </w:r>
            <w:proofErr w:type="gramStart"/>
            <w:r>
              <w:rPr>
                <w:shd w:val="clear" w:color="auto" w:fill="FFFFFF"/>
                <w:lang w:eastAsia="en-US"/>
              </w:rPr>
              <w:t>реагентов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 предназначенный для количественного определения фибриногена в клиническом образце методом анализа образования сгустка.</w:t>
            </w:r>
          </w:p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выполняемых тестов: 450  -  500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Назначение: </w:t>
            </w:r>
            <w:r>
              <w:rPr>
                <w:shd w:val="clear" w:color="auto" w:fill="FFFFFF"/>
                <w:lang w:eastAsia="en-US"/>
              </w:rPr>
              <w:t xml:space="preserve">Для </w:t>
            </w:r>
            <w:proofErr w:type="spellStart"/>
            <w:r>
              <w:rPr>
                <w:shd w:val="clear" w:color="auto" w:fill="FFFFFF"/>
                <w:lang w:eastAsia="en-US"/>
              </w:rPr>
              <w:t>коагулометров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серии </w:t>
            </w:r>
            <w:proofErr w:type="spellStart"/>
            <w:r>
              <w:rPr>
                <w:shd w:val="clear" w:color="auto" w:fill="FFFFFF"/>
                <w:lang w:eastAsia="en-US"/>
              </w:rPr>
              <w:t>Technology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en-US"/>
              </w:rPr>
              <w:t>Solution</w:t>
            </w:r>
            <w:proofErr w:type="spellEnd"/>
            <w:r>
              <w:rPr>
                <w:shd w:val="clear" w:color="auto" w:fill="FFFFFF"/>
                <w:lang w:eastAsia="en-US"/>
              </w:rPr>
              <w:t>.</w:t>
            </w:r>
          </w:p>
          <w:p w:rsidR="00A65D70" w:rsidRDefault="00A65D70" w:rsidP="00A65D70">
            <w:pPr>
              <w:spacing w:line="276" w:lineRule="auto"/>
              <w:jc w:val="both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Состав:</w:t>
            </w:r>
          </w:p>
          <w:p w:rsidR="00A65D70" w:rsidRDefault="00A65D70" w:rsidP="00A65D70">
            <w:pPr>
              <w:spacing w:line="276" w:lineRule="auto"/>
              <w:jc w:val="both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 xml:space="preserve">Реагент 1: Тромбин (жидкий реагент),  не менее 10 мл - не менее 10 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фл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>.</w:t>
            </w:r>
          </w:p>
          <w:p w:rsidR="00A65D70" w:rsidRDefault="00A65D70" w:rsidP="00A65D70">
            <w:pPr>
              <w:spacing w:line="276" w:lineRule="auto"/>
              <w:jc w:val="both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 xml:space="preserve">Методика: модифицированный метод 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Клаусса</w:t>
            </w:r>
            <w:proofErr w:type="spellEnd"/>
          </w:p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65D70" w:rsidTr="00A65D70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0" w:rsidRDefault="00A65D70" w:rsidP="00A65D70">
            <w:pPr>
              <w:spacing w:line="276" w:lineRule="auto"/>
              <w:jc w:val="center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70" w:rsidRDefault="00A65D70" w:rsidP="00A65D70">
            <w:pPr>
              <w:suppressAutoHyphens w:val="0"/>
              <w:spacing w:after="200" w:line="276" w:lineRule="auto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 xml:space="preserve">Набор реагентов для определения 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протромбинового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 xml:space="preserve"> времени (TS-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Тромбопластин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>)</w:t>
            </w:r>
          </w:p>
          <w:p w:rsidR="00A65D70" w:rsidRDefault="00A65D70" w:rsidP="00A65D70">
            <w:pPr>
              <w:suppressAutoHyphens w:val="0"/>
              <w:spacing w:after="200" w:line="276" w:lineRule="auto"/>
              <w:rPr>
                <w:rFonts w:eastAsia="SimSun"/>
                <w:bCs/>
                <w:color w:val="000000"/>
                <w:lang w:bidi="ar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uppressAutoHyphens w:val="0"/>
              <w:spacing w:line="276" w:lineRule="auto"/>
              <w:jc w:val="both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Тромбопластин</w:t>
            </w:r>
            <w:proofErr w:type="spellEnd"/>
            <w:r>
              <w:rPr>
                <w:rFonts w:eastAsia="Calibri"/>
                <w:lang w:eastAsia="ru-RU"/>
              </w:rPr>
              <w:t xml:space="preserve">-кальциевый реагент должен быть аттестован по МИЧ. Состав набора: </w:t>
            </w:r>
            <w:proofErr w:type="spellStart"/>
            <w:r>
              <w:rPr>
                <w:rFonts w:eastAsia="Calibri"/>
                <w:lang w:eastAsia="ru-RU"/>
              </w:rPr>
              <w:t>Тромбопластин</w:t>
            </w:r>
            <w:proofErr w:type="spellEnd"/>
            <w:r>
              <w:rPr>
                <w:rFonts w:eastAsia="Calibri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lang w:eastAsia="ru-RU"/>
              </w:rPr>
              <w:t>тромбопластин</w:t>
            </w:r>
            <w:proofErr w:type="spellEnd"/>
            <w:r>
              <w:rPr>
                <w:rFonts w:eastAsia="Calibri"/>
                <w:lang w:eastAsia="ru-RU"/>
              </w:rPr>
              <w:t>-ка</w:t>
            </w:r>
            <w:r>
              <w:rPr>
                <w:rFonts w:eastAsia="Calibri"/>
                <w:lang w:eastAsia="ru-RU"/>
              </w:rPr>
              <w:softHyphen/>
              <w:t>ль</w:t>
            </w:r>
            <w:r>
              <w:rPr>
                <w:rFonts w:eastAsia="Calibri"/>
                <w:lang w:eastAsia="ru-RU"/>
              </w:rPr>
              <w:softHyphen/>
            </w:r>
            <w:r>
              <w:rPr>
                <w:rFonts w:eastAsia="Calibri"/>
                <w:lang w:eastAsia="ru-RU"/>
              </w:rPr>
              <w:softHyphen/>
            </w:r>
            <w:r>
              <w:rPr>
                <w:rFonts w:eastAsia="Calibri"/>
                <w:lang w:eastAsia="ru-RU"/>
              </w:rPr>
              <w:softHyphen/>
              <w:t>циевая смесь из кроличьего мозга, буфер, консерванты и стабилизаторы) суспензия - не менее 10 флаконов по не менее 10 мл. Количество выполняемых тестов:  ≥ 500 Штука</w:t>
            </w:r>
          </w:p>
          <w:p w:rsidR="00A65D70" w:rsidRDefault="00A65D70" w:rsidP="00A65D70">
            <w:pPr>
              <w:suppressAutoHyphens w:val="0"/>
              <w:spacing w:line="276" w:lineRule="auto"/>
              <w:jc w:val="both"/>
              <w:rPr>
                <w:rFonts w:eastAsia="Calibri"/>
                <w:lang w:eastAsia="ru-RU"/>
              </w:rPr>
            </w:pPr>
            <w:r>
              <w:rPr>
                <w:lang w:eastAsia="en-US"/>
              </w:rPr>
              <w:lastRenderedPageBreak/>
              <w:t xml:space="preserve">Совместимость с   </w:t>
            </w:r>
            <w:proofErr w:type="spellStart"/>
            <w:r>
              <w:rPr>
                <w:lang w:eastAsia="en-US"/>
              </w:rPr>
              <w:t>коагулометром</w:t>
            </w:r>
            <w:proofErr w:type="spellEnd"/>
            <w:r>
              <w:rPr>
                <w:lang w:eastAsia="en-US"/>
              </w:rPr>
              <w:t xml:space="preserve">    </w:t>
            </w:r>
            <w:proofErr w:type="spellStart"/>
            <w:r>
              <w:rPr>
                <w:lang w:eastAsia="en-US"/>
              </w:rPr>
              <w:t>Technology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Solution</w:t>
            </w:r>
            <w:proofErr w:type="spellEnd"/>
            <w:r>
              <w:rPr>
                <w:lang w:eastAsia="en-US"/>
              </w:rPr>
              <w:t xml:space="preserve"> 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65D70" w:rsidTr="00A65D70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0" w:rsidRDefault="00A65D70" w:rsidP="00A65D70">
            <w:pPr>
              <w:spacing w:line="276" w:lineRule="auto"/>
              <w:jc w:val="center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Набор калибраторов для определения концентрации</w:t>
            </w:r>
          </w:p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 xml:space="preserve">фибриногена </w:t>
            </w:r>
          </w:p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TS-Фибриноген-калибратор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Набор калибраторов для определения концентрации фибриногена  TS-Фибриноген-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калибратор</w:t>
            </w:r>
            <w:proofErr w:type="gramStart"/>
            <w:r>
              <w:rPr>
                <w:rFonts w:eastAsia="SimSun"/>
                <w:bCs/>
                <w:color w:val="000000"/>
                <w:lang w:bidi="ar"/>
              </w:rPr>
              <w:t>.М</w:t>
            </w:r>
            <w:proofErr w:type="gramEnd"/>
            <w:r>
              <w:rPr>
                <w:rFonts w:eastAsia="SimSun"/>
                <w:bCs/>
                <w:color w:val="000000"/>
                <w:lang w:bidi="ar"/>
              </w:rPr>
              <w:t>атериал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 xml:space="preserve">, используемый для установления 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референтных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 xml:space="preserve"> значений для анализа, предназначенный для количественного определения фибриногена (фактора I) . </w:t>
            </w:r>
          </w:p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Фасовка: Не менее 5 флаконов по 1 мл с разной концентрацией фибриногена</w:t>
            </w:r>
          </w:p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 xml:space="preserve">Назначение: Для 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коагулометров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 xml:space="preserve"> серии 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Technology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000000"/>
                <w:lang w:bidi="ar"/>
              </w:rPr>
              <w:t>Solution</w:t>
            </w:r>
            <w:proofErr w:type="spellEnd"/>
            <w:r>
              <w:rPr>
                <w:rFonts w:eastAsia="SimSun"/>
                <w:bCs/>
                <w:color w:val="000000"/>
                <w:lang w:bidi="a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65D70" w:rsidTr="00A65D70">
        <w:trPr>
          <w:trHeight w:val="6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0" w:rsidRDefault="00A65D70" w:rsidP="00A65D70">
            <w:pPr>
              <w:spacing w:line="276" w:lineRule="auto"/>
              <w:jc w:val="center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 xml:space="preserve">Набор калибровочных плазм </w:t>
            </w:r>
          </w:p>
          <w:p w:rsidR="00A65D70" w:rsidRDefault="00A65D70" w:rsidP="00A65D70">
            <w:pPr>
              <w:spacing w:line="276" w:lineRule="auto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TS-калибратор</w:t>
            </w:r>
          </w:p>
          <w:p w:rsidR="00A65D70" w:rsidRDefault="00A65D70" w:rsidP="00A65D70">
            <w:pPr>
              <w:spacing w:line="276" w:lineRule="auto"/>
              <w:jc w:val="center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Набор калибровочных плазм  TS-калибратор.</w:t>
            </w:r>
          </w:p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Материал, используемый для установления </w:t>
            </w:r>
            <w:proofErr w:type="spellStart"/>
            <w:r>
              <w:rPr>
                <w:lang w:eastAsia="en-US"/>
              </w:rPr>
              <w:t>референтных</w:t>
            </w:r>
            <w:proofErr w:type="spellEnd"/>
            <w:r>
              <w:rPr>
                <w:lang w:eastAsia="en-US"/>
              </w:rPr>
              <w:t xml:space="preserve"> значений для анализа, предназначенный для использования при качественном и количественном определении коагуляции, посредников коагуляции и их активированных компонентов в клиническом образце. Плазма аттестована для построения калибровочных кривых и получения калибровочных значений по 8 параметрам при определении следующих показателей:</w:t>
            </w:r>
          </w:p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АПТВ/АЧТВ;</w:t>
            </w:r>
          </w:p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протромбиновое</w:t>
            </w:r>
            <w:proofErr w:type="spellEnd"/>
            <w:r>
              <w:rPr>
                <w:lang w:eastAsia="en-US"/>
              </w:rPr>
              <w:t xml:space="preserve"> время;</w:t>
            </w:r>
          </w:p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протромбиновый</w:t>
            </w:r>
            <w:proofErr w:type="spellEnd"/>
            <w:r>
              <w:rPr>
                <w:lang w:eastAsia="en-US"/>
              </w:rPr>
              <w:t xml:space="preserve"> показатель по </w:t>
            </w:r>
            <w:proofErr w:type="spellStart"/>
            <w:r>
              <w:rPr>
                <w:lang w:eastAsia="en-US"/>
              </w:rPr>
              <w:t>Квику</w:t>
            </w:r>
            <w:proofErr w:type="spellEnd"/>
            <w:r>
              <w:rPr>
                <w:lang w:eastAsia="en-US"/>
              </w:rPr>
              <w:t>;</w:t>
            </w:r>
          </w:p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антитромбин;</w:t>
            </w:r>
          </w:p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плазминоген</w:t>
            </w:r>
            <w:proofErr w:type="spellEnd"/>
            <w:r>
              <w:rPr>
                <w:lang w:eastAsia="en-US"/>
              </w:rPr>
              <w:t>;</w:t>
            </w:r>
          </w:p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протеин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  <w:r>
              <w:rPr>
                <w:lang w:eastAsia="en-US"/>
              </w:rPr>
              <w:t>;</w:t>
            </w:r>
          </w:p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- уровень антигена фактора </w:t>
            </w:r>
            <w:proofErr w:type="spellStart"/>
            <w:r>
              <w:rPr>
                <w:lang w:eastAsia="en-US"/>
              </w:rPr>
              <w:t>Виллебранда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vWF:Ag</w:t>
            </w:r>
            <w:proofErr w:type="spellEnd"/>
            <w:r>
              <w:rPr>
                <w:lang w:eastAsia="en-US"/>
              </w:rPr>
              <w:t>);</w:t>
            </w:r>
            <w:proofErr w:type="gramEnd"/>
          </w:p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уровень антигена протеина S (свободного).</w:t>
            </w:r>
          </w:p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 набора: </w:t>
            </w:r>
          </w:p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-калибратор (лиофильно высушенная калибровочная плазма), на 1 мл - не менее  6 </w:t>
            </w:r>
            <w:proofErr w:type="spellStart"/>
            <w:r>
              <w:rPr>
                <w:lang w:eastAsia="en-US"/>
              </w:rPr>
              <w:t>фл</w:t>
            </w:r>
            <w:proofErr w:type="spellEnd"/>
          </w:p>
          <w:p w:rsidR="00A65D70" w:rsidRDefault="00A65D70" w:rsidP="00A65D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Назначение: Для </w:t>
            </w:r>
            <w:proofErr w:type="spellStart"/>
            <w:r>
              <w:rPr>
                <w:lang w:eastAsia="en-US"/>
              </w:rPr>
              <w:t>коагулометров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Technology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Solution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65D70" w:rsidTr="00A65D70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70" w:rsidRDefault="00A65D70" w:rsidP="00A65D70">
            <w:pPr>
              <w:spacing w:line="276" w:lineRule="auto"/>
              <w:jc w:val="center"/>
              <w:textAlignment w:val="center"/>
              <w:rPr>
                <w:rFonts w:eastAsia="SimSun"/>
                <w:bCs/>
                <w:color w:val="000000"/>
                <w:lang w:bidi="ar"/>
              </w:rPr>
            </w:pPr>
            <w:r>
              <w:rPr>
                <w:rFonts w:eastAsia="SimSun"/>
                <w:bCs/>
                <w:color w:val="000000"/>
                <w:lang w:bidi="a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70" w:rsidRDefault="00A65D70" w:rsidP="00A65D70">
            <w:pPr>
              <w:spacing w:line="276" w:lineRule="auto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Набор контрольных плазм  TS-контроль</w:t>
            </w:r>
          </w:p>
          <w:p w:rsidR="00A65D70" w:rsidRDefault="00A65D70" w:rsidP="00A65D70">
            <w:pPr>
              <w:spacing w:line="276" w:lineRule="auto"/>
              <w:textAlignment w:val="top"/>
              <w:rPr>
                <w:color w:val="00000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Набор контрольных плазм  TS-контроль. Материал, используемый для подтверждения качества анализа, предназначенный для использования при качественном и количественном определении </w:t>
            </w:r>
            <w:proofErr w:type="spellStart"/>
            <w:r>
              <w:rPr>
                <w:shd w:val="clear" w:color="auto" w:fill="FFFFFF"/>
                <w:lang w:eastAsia="en-US"/>
              </w:rPr>
              <w:t>коагуляционных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факторов, посредников коагуляции  и их активированных компонентов в клиническом образце.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A65D70" w:rsidRDefault="00A65D70" w:rsidP="00A65D7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Назначение: </w:t>
            </w:r>
            <w:r>
              <w:rPr>
                <w:shd w:val="clear" w:color="auto" w:fill="FFFFFF"/>
                <w:lang w:eastAsia="en-US"/>
              </w:rPr>
              <w:t xml:space="preserve">Для линейки </w:t>
            </w:r>
            <w:proofErr w:type="spellStart"/>
            <w:r>
              <w:rPr>
                <w:shd w:val="clear" w:color="auto" w:fill="FFFFFF"/>
                <w:lang w:eastAsia="en-US"/>
              </w:rPr>
              <w:t>коагулометров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en-US"/>
              </w:rPr>
              <w:t>Technology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en-US"/>
              </w:rPr>
              <w:t>Solution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(TS-контроль).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Контрольная плазма в нормальном и патологическом  диапазоне, аттестована не менее чем по </w:t>
            </w:r>
            <w:proofErr w:type="spellStart"/>
            <w:proofErr w:type="gramStart"/>
            <w:r>
              <w:rPr>
                <w:color w:val="000000"/>
              </w:rPr>
              <w:t>по</w:t>
            </w:r>
            <w:proofErr w:type="spellEnd"/>
            <w:proofErr w:type="gramEnd"/>
            <w:r>
              <w:rPr>
                <w:color w:val="000000"/>
              </w:rPr>
              <w:t xml:space="preserve"> 13 параметрам: - АПТВ/АЧТВ;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- АПТВ/АЧТВ;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протромбиновое</w:t>
            </w:r>
            <w:proofErr w:type="spellEnd"/>
            <w:r>
              <w:rPr>
                <w:color w:val="000000"/>
              </w:rPr>
              <w:t xml:space="preserve"> время;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- международное нормализованное отношение (МНО);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протромбиновый</w:t>
            </w:r>
            <w:proofErr w:type="spellEnd"/>
            <w:r>
              <w:rPr>
                <w:color w:val="000000"/>
              </w:rPr>
              <w:t xml:space="preserve"> показатель по </w:t>
            </w:r>
            <w:proofErr w:type="spellStart"/>
            <w:r>
              <w:rPr>
                <w:color w:val="000000"/>
              </w:rPr>
              <w:t>Квику</w:t>
            </w:r>
            <w:proofErr w:type="spellEnd"/>
            <w:r>
              <w:rPr>
                <w:color w:val="000000"/>
              </w:rPr>
              <w:t>;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тромбиновое</w:t>
            </w:r>
            <w:proofErr w:type="spellEnd"/>
            <w:r>
              <w:rPr>
                <w:color w:val="000000"/>
              </w:rPr>
              <w:t xml:space="preserve"> время;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- фибриноген (модифицированным методом </w:t>
            </w:r>
            <w:proofErr w:type="spellStart"/>
            <w:r>
              <w:rPr>
                <w:color w:val="000000"/>
              </w:rPr>
              <w:t>Клаусса</w:t>
            </w:r>
            <w:proofErr w:type="spellEnd"/>
            <w:r>
              <w:rPr>
                <w:color w:val="000000"/>
              </w:rPr>
              <w:t>);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- антитромбин;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плазминоген</w:t>
            </w:r>
            <w:proofErr w:type="spellEnd"/>
            <w:r>
              <w:rPr>
                <w:color w:val="000000"/>
              </w:rPr>
              <w:t>;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-  протеин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>;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- фактор VIII;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- фактор IX;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- уровень антигена фактора </w:t>
            </w:r>
            <w:proofErr w:type="spellStart"/>
            <w:r>
              <w:rPr>
                <w:color w:val="000000"/>
              </w:rPr>
              <w:t>Виллебранда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vWF:Ag</w:t>
            </w:r>
            <w:proofErr w:type="spellEnd"/>
            <w:r>
              <w:rPr>
                <w:color w:val="000000"/>
              </w:rPr>
              <w:t>);</w:t>
            </w:r>
            <w:proofErr w:type="gramEnd"/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- уровень антигена протеина S (свободного).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Фасовка: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1. контроль Н (лиофильно высушенная контрольная плазма с нормальным диапазоном значений), на 1 мл – не менее 3 </w:t>
            </w:r>
            <w:proofErr w:type="spellStart"/>
            <w:r>
              <w:rPr>
                <w:color w:val="000000"/>
              </w:rPr>
              <w:t>фл</w:t>
            </w:r>
            <w:proofErr w:type="spellEnd"/>
            <w:r>
              <w:rPr>
                <w:color w:val="000000"/>
              </w:rPr>
              <w:t>.</w:t>
            </w:r>
          </w:p>
          <w:p w:rsidR="00A65D70" w:rsidRDefault="00A65D70" w:rsidP="00A65D70">
            <w:pPr>
              <w:spacing w:line="276" w:lineRule="auto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2. контроль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(лиофильно высушенная контрольная плазма с патологическим диапазоном значений), на 1 мл – не менее 3 </w:t>
            </w: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70" w:rsidRDefault="00A65D70" w:rsidP="00A65D7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0C1B5D" w:rsidRDefault="000C1B5D">
      <w:pPr>
        <w:jc w:val="center"/>
        <w:rPr>
          <w:rFonts w:eastAsia="Calibri"/>
          <w:b/>
          <w:lang w:eastAsia="ru-RU"/>
        </w:rPr>
      </w:pPr>
    </w:p>
    <w:p w:rsidR="000C1B5D" w:rsidRDefault="000C1B5D">
      <w:pPr>
        <w:jc w:val="center"/>
        <w:rPr>
          <w:b/>
        </w:rPr>
      </w:pPr>
    </w:p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A65D70" w:rsidRDefault="00A65D70">
      <w:pPr>
        <w:ind w:firstLine="567"/>
        <w:jc w:val="both"/>
        <w:rPr>
          <w:rFonts w:eastAsia="Calibri"/>
          <w:b/>
          <w:lang w:eastAsia="ru-RU"/>
        </w:rPr>
      </w:pPr>
    </w:p>
    <w:p w:rsidR="000C1B5D" w:rsidRDefault="000C1B5D">
      <w:pPr>
        <w:jc w:val="both"/>
        <w:rPr>
          <w:rFonts w:eastAsia="Calibri"/>
          <w:b/>
          <w:lang w:eastAsia="ru-RU"/>
        </w:rPr>
      </w:pPr>
    </w:p>
    <w:p w:rsidR="004452BC" w:rsidRDefault="004452BC">
      <w:pPr>
        <w:jc w:val="both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  <w:r w:rsidRPr="004452BC">
        <w:rPr>
          <w:rFonts w:eastAsia="Calibri"/>
          <w:b/>
          <w:lang w:eastAsia="ru-RU"/>
        </w:rPr>
        <w:lastRenderedPageBreak/>
        <w:t>УСЛОВИЯ ЗАКУПКИ</w:t>
      </w: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tbl>
      <w:tblPr>
        <w:tblW w:w="10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4"/>
        <w:gridCol w:w="3859"/>
        <w:gridCol w:w="5667"/>
      </w:tblGrid>
      <w:tr w:rsidR="004452BC" w:rsidRPr="004452BC" w:rsidTr="00BE608B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  <w:rPr>
                <w:b/>
                <w:bCs/>
              </w:rPr>
            </w:pPr>
            <w:r w:rsidRPr="004452BC">
              <w:rPr>
                <w:b/>
                <w:bCs/>
                <w:sz w:val="20"/>
                <w:szCs w:val="20"/>
              </w:rPr>
              <w:t>№ п\</w:t>
            </w:r>
            <w:proofErr w:type="gramStart"/>
            <w:r w:rsidRPr="004452BC"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  <w:rPr>
                <w:b/>
                <w:bCs/>
              </w:rPr>
            </w:pPr>
            <w:r w:rsidRPr="004452B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  <w:rPr>
                <w:b/>
                <w:bCs/>
              </w:rPr>
            </w:pPr>
            <w:r w:rsidRPr="004452BC">
              <w:rPr>
                <w:b/>
                <w:bCs/>
                <w:sz w:val="20"/>
                <w:szCs w:val="20"/>
              </w:rPr>
              <w:t>Данные закупки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  <w:shd w:val="clear" w:color="auto" w:fill="FFFF00"/>
              </w:rPr>
            </w:pPr>
            <w:r w:rsidRPr="004452BC">
              <w:rPr>
                <w:b/>
                <w:sz w:val="20"/>
                <w:szCs w:val="20"/>
              </w:rPr>
              <w:t>Начально максимальная цена договора, порядок формирования цены: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A65D70" w:rsidP="00A65D70">
            <w:r>
              <w:rPr>
                <w:sz w:val="20"/>
                <w:szCs w:val="20"/>
              </w:rPr>
              <w:t>201 660</w:t>
            </w:r>
            <w:r w:rsidR="004452BC" w:rsidRPr="004452B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двести одна </w:t>
            </w:r>
            <w:r w:rsidR="004452BC" w:rsidRPr="004452BC">
              <w:rPr>
                <w:sz w:val="20"/>
                <w:szCs w:val="20"/>
              </w:rPr>
              <w:t>тысяч</w:t>
            </w:r>
            <w:r>
              <w:rPr>
                <w:sz w:val="20"/>
                <w:szCs w:val="20"/>
              </w:rPr>
              <w:t>а</w:t>
            </w:r>
            <w:r w:rsidR="004452BC" w:rsidRPr="00445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шестьсот шестьдесят</w:t>
            </w:r>
            <w:r w:rsidR="004452BC" w:rsidRPr="004452BC">
              <w:rPr>
                <w:sz w:val="20"/>
                <w:szCs w:val="20"/>
              </w:rPr>
              <w:t xml:space="preserve">) рублей </w:t>
            </w:r>
            <w:r>
              <w:rPr>
                <w:sz w:val="20"/>
                <w:szCs w:val="20"/>
              </w:rPr>
              <w:t>00</w:t>
            </w:r>
            <w:r w:rsidR="004452BC" w:rsidRPr="004452BC">
              <w:rPr>
                <w:sz w:val="20"/>
                <w:szCs w:val="20"/>
              </w:rPr>
              <w:t xml:space="preserve"> копеек</w:t>
            </w:r>
            <w:bookmarkStart w:id="0" w:name="_GoBack"/>
            <w:bookmarkEnd w:id="0"/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2.</w:t>
            </w:r>
          </w:p>
          <w:p w:rsidR="004452BC" w:rsidRPr="004452BC" w:rsidRDefault="004452BC" w:rsidP="004452BC">
            <w:pPr>
              <w:jc w:val="center"/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Стоимость товара включает: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r w:rsidRPr="004452BC">
              <w:rPr>
                <w:sz w:val="20"/>
                <w:szCs w:val="20"/>
              </w:rPr>
              <w:t>Включает все налоги и сборы, которые обязан уплатить участник закупки в соответствии с применяемой им системой налогообложения, стоимость транспортных расходов Поставщика по доставке Товара Покупателю, а также любых других расходов, которые возникнут или могут возникнуть в ходе исполнения Договора.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Цена единицы товара является фиксированной и изменению в течени</w:t>
            </w:r>
            <w:proofErr w:type="gramStart"/>
            <w:r w:rsidRPr="004452BC">
              <w:rPr>
                <w:sz w:val="20"/>
                <w:szCs w:val="20"/>
              </w:rPr>
              <w:t>и</w:t>
            </w:r>
            <w:proofErr w:type="gramEnd"/>
            <w:r w:rsidRPr="004452BC">
              <w:rPr>
                <w:sz w:val="20"/>
                <w:szCs w:val="20"/>
              </w:rPr>
              <w:t xml:space="preserve"> срока действия договора не подлежит.</w:t>
            </w:r>
          </w:p>
          <w:p w:rsidR="004452BC" w:rsidRPr="004452BC" w:rsidRDefault="004452BC" w:rsidP="004452BC">
            <w:r w:rsidRPr="004452BC">
              <w:rPr>
                <w:sz w:val="20"/>
                <w:szCs w:val="20"/>
              </w:rPr>
              <w:t>Договор заключается по цене, предложенной победителем закупки. Цена договора на сумму НДС не уменьшается.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Срок поставки товара: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Пункт 1.2 Проекта Договора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Место поставки:</w:t>
            </w:r>
          </w:p>
          <w:p w:rsidR="004452BC" w:rsidRPr="004452BC" w:rsidRDefault="004452BC" w:rsidP="004452BC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Пункт 1.3 Проекта Договора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Условия оплаты: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Пункт 2.2 Проекта Договора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6.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Требования к качеству товара: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Пункт 5.1 Проекта Договора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7.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Требования к упаковке:</w:t>
            </w:r>
          </w:p>
          <w:p w:rsidR="004452BC" w:rsidRPr="004452BC" w:rsidRDefault="004452BC" w:rsidP="004452BC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r w:rsidRPr="004452BC">
              <w:rPr>
                <w:sz w:val="20"/>
                <w:szCs w:val="20"/>
              </w:rPr>
              <w:t>Поставка Товара должна осуществляться в оригинальной заводской упаковке, обеспечивающей его сохранность. Упаковка должна обеспечивать защиту от воздействия механических, химических и климатических факторов во время транспортирования и хранения поставляемого Товара.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8.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Ценовое предложение должно содержать: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1) Заявку  с информацией указанной в Рекомендуемой форме (Приложение №1 Технического задания)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2) Наличие лицензии / аттестатов аккредитации (в случае, если требуется для осуществления поставки товара, выполнения работ, оказания услуг необходимо приложить копию лицензии на осуществление деятельности).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3)  Копии документов подтверждающих соответствие участника  и соответствие товара требованиям законодательства РФ.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4) -Наименование товара,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-Наименование организации-изготовителя,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-Страна происхождения,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-Артикул, либо тип оборудования (при наличии),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 xml:space="preserve">-Описание характеристик </w:t>
            </w:r>
            <w:proofErr w:type="gramStart"/>
            <w:r w:rsidRPr="004452BC">
              <w:rPr>
                <w:sz w:val="20"/>
                <w:szCs w:val="20"/>
              </w:rPr>
              <w:t>согласно</w:t>
            </w:r>
            <w:proofErr w:type="gramEnd"/>
            <w:r w:rsidRPr="004452BC">
              <w:rPr>
                <w:sz w:val="20"/>
                <w:szCs w:val="20"/>
              </w:rPr>
              <w:t xml:space="preserve"> технического задания с определенными показателями (не допускающими двойного толкования),</w:t>
            </w:r>
          </w:p>
          <w:p w:rsidR="004452BC" w:rsidRPr="004452BC" w:rsidRDefault="004452BC" w:rsidP="004452BC">
            <w:pPr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 xml:space="preserve">-Единицу измерения и количество </w:t>
            </w:r>
            <w:proofErr w:type="gramStart"/>
            <w:r w:rsidRPr="004452BC">
              <w:rPr>
                <w:sz w:val="20"/>
                <w:szCs w:val="20"/>
              </w:rPr>
              <w:t>согласно</w:t>
            </w:r>
            <w:proofErr w:type="gramEnd"/>
            <w:r w:rsidRPr="004452BC">
              <w:rPr>
                <w:sz w:val="20"/>
                <w:szCs w:val="20"/>
              </w:rPr>
              <w:t xml:space="preserve"> технического задания Покупателя.</w:t>
            </w:r>
          </w:p>
          <w:p w:rsidR="004452BC" w:rsidRPr="004452BC" w:rsidRDefault="004452BC" w:rsidP="004452BC">
            <w:r w:rsidRPr="004452BC">
              <w:rPr>
                <w:bCs/>
                <w:sz w:val="20"/>
                <w:szCs w:val="20"/>
              </w:rPr>
              <w:t>Участник вправе изменить единицу измерения на упаковки и произвести пересчет количества на количество упаковок, предлагаемых к поставке исходя из заявленного объема поставки и количества единиц измерения в индивидуальной (потребительской) упаковке. В случае пересчета, участник вправе округлить в большую сторону количество предлагаемого к поставке товара для сохранения целостности индивидуальной (потребительской) упаковки, при этом цена не может быть больше указанной покупателем.</w:t>
            </w:r>
          </w:p>
        </w:tc>
      </w:tr>
      <w:tr w:rsidR="004452BC" w:rsidRPr="004452BC" w:rsidTr="00BE608B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jc w:val="center"/>
            </w:pPr>
            <w:r w:rsidRPr="004452BC">
              <w:rPr>
                <w:sz w:val="20"/>
                <w:szCs w:val="20"/>
              </w:rPr>
              <w:t>9.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2BC" w:rsidRPr="004452BC" w:rsidRDefault="004452BC" w:rsidP="004452BC">
            <w:pPr>
              <w:rPr>
                <w:b/>
              </w:rPr>
            </w:pPr>
            <w:r w:rsidRPr="004452BC">
              <w:rPr>
                <w:b/>
                <w:sz w:val="20"/>
                <w:szCs w:val="20"/>
              </w:rPr>
              <w:t>Условия эквивалентности: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C" w:rsidRPr="004452BC" w:rsidRDefault="004452BC" w:rsidP="004452BC">
            <w:r w:rsidRPr="004452BC">
              <w:rPr>
                <w:sz w:val="20"/>
                <w:szCs w:val="20"/>
              </w:rPr>
              <w:t>В случае</w:t>
            </w:r>
            <w:proofErr w:type="gramStart"/>
            <w:r w:rsidRPr="004452BC">
              <w:rPr>
                <w:sz w:val="20"/>
                <w:szCs w:val="20"/>
              </w:rPr>
              <w:t>,</w:t>
            </w:r>
            <w:proofErr w:type="gramEnd"/>
            <w:r w:rsidRPr="004452BC">
              <w:rPr>
                <w:sz w:val="20"/>
                <w:szCs w:val="20"/>
              </w:rPr>
              <w:t xml:space="preserve"> если в техническом задании содержится указание на товарные знаки, конкретные размеры в отношении Товара, применительно к таким Товарам следует считать «или эквивалент». 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      </w:r>
          </w:p>
        </w:tc>
      </w:tr>
    </w:tbl>
    <w:p w:rsidR="004452BC" w:rsidRPr="004452BC" w:rsidRDefault="004452BC" w:rsidP="004452BC">
      <w:pPr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right"/>
        <w:rPr>
          <w:rFonts w:eastAsia="Calibri"/>
          <w:b/>
          <w:lang w:eastAsia="ru-RU"/>
        </w:rPr>
      </w:pPr>
      <w:r w:rsidRPr="004452BC">
        <w:rPr>
          <w:rFonts w:eastAsia="Calibri"/>
          <w:b/>
          <w:lang w:eastAsia="ru-RU"/>
        </w:rPr>
        <w:t>Приложение №1</w:t>
      </w: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  <w:r w:rsidRPr="004452BC">
        <w:rPr>
          <w:rFonts w:eastAsia="Calibri"/>
          <w:b/>
          <w:lang w:eastAsia="ru-RU"/>
        </w:rPr>
        <w:t>РЕКОМЕДУЕМАЯ ФОРМА ЗАЯВКИ:</w:t>
      </w: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  <w:r w:rsidRPr="004452BC">
        <w:rPr>
          <w:rFonts w:eastAsia="Calibri"/>
          <w:b/>
          <w:lang w:eastAsia="ru-RU"/>
        </w:rPr>
        <w:t>Заявку на закупку №_____________</w:t>
      </w:r>
    </w:p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939"/>
        <w:gridCol w:w="1961"/>
        <w:gridCol w:w="688"/>
        <w:gridCol w:w="721"/>
        <w:gridCol w:w="1384"/>
        <w:gridCol w:w="819"/>
        <w:gridCol w:w="946"/>
        <w:gridCol w:w="1390"/>
      </w:tblGrid>
      <w:tr w:rsidR="004452BC" w:rsidRPr="004452BC" w:rsidTr="00BE608B">
        <w:trPr>
          <w:trHeight w:val="596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п</w:t>
            </w:r>
            <w:proofErr w:type="gramEnd"/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Наименование Товара /Производитель</w:t>
            </w:r>
          </w:p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/Страна производства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en-US"/>
              </w:rPr>
              <w:t>Требования к техническим характеристикам, функциональным характеристикам (потребительским свойствам), к размерам, упаковке Товара, иные требования, связанные с определением соответствия поставляемого Товара потребностям Покупателя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Ед.</w:t>
            </w: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НДС,%.</w:t>
            </w:r>
          </w:p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/НДС не облагается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Цена за ед. с НДС, руб.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Сумма НДС, руб.</w:t>
            </w:r>
          </w:p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Стоимость вкл. НДС, руб.</w:t>
            </w:r>
          </w:p>
        </w:tc>
      </w:tr>
      <w:tr w:rsidR="004452BC" w:rsidRPr="004452BC" w:rsidTr="00BE608B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52B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ind w:firstLine="34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4452BC" w:rsidRPr="004452BC" w:rsidTr="00BE608B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52B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ind w:firstLine="34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4452BC" w:rsidRPr="004452BC" w:rsidTr="00BE608B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452B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ind w:right="-108" w:firstLine="34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BC" w:rsidRPr="004452BC" w:rsidRDefault="004452BC" w:rsidP="004452B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4452BC" w:rsidRPr="004452BC" w:rsidTr="00BE608B">
        <w:tc>
          <w:tcPr>
            <w:tcW w:w="4333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4452BC">
              <w:rPr>
                <w:rFonts w:eastAsia="Calibri"/>
                <w:kern w:val="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2BC" w:rsidRPr="004452BC" w:rsidRDefault="004452BC" w:rsidP="004452BC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</w:tbl>
    <w:p w:rsidR="004452BC" w:rsidRPr="004452BC" w:rsidRDefault="004452BC" w:rsidP="004452BC">
      <w:pPr>
        <w:ind w:firstLine="567"/>
        <w:jc w:val="center"/>
        <w:rPr>
          <w:rFonts w:eastAsia="Calibri"/>
          <w:b/>
          <w:lang w:eastAsia="ru-RU"/>
        </w:rPr>
      </w:pPr>
    </w:p>
    <w:p w:rsidR="004452BC" w:rsidRPr="004452BC" w:rsidRDefault="004452BC" w:rsidP="004452BC">
      <w:pPr>
        <w:rPr>
          <w:rFonts w:eastAsia="Calibri"/>
          <w:b/>
          <w:lang w:eastAsia="ru-RU"/>
        </w:rPr>
      </w:pPr>
    </w:p>
    <w:tbl>
      <w:tblPr>
        <w:tblW w:w="9781" w:type="dxa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4452BC" w:rsidRPr="004452BC" w:rsidTr="00BE608B">
        <w:tc>
          <w:tcPr>
            <w:tcW w:w="4820" w:type="dxa"/>
          </w:tcPr>
          <w:p w:rsidR="004452BC" w:rsidRPr="004452BC" w:rsidRDefault="004452BC" w:rsidP="004452BC">
            <w:pPr>
              <w:widowControl w:val="0"/>
              <w:autoSpaceDN w:val="0"/>
              <w:jc w:val="both"/>
              <w:textAlignment w:val="baseline"/>
              <w:rPr>
                <w:b/>
                <w:kern w:val="1"/>
              </w:rPr>
            </w:pPr>
            <w:r w:rsidRPr="004452BC">
              <w:rPr>
                <w:b/>
                <w:kern w:val="1"/>
              </w:rPr>
              <w:t>Поставщик:</w:t>
            </w:r>
          </w:p>
          <w:p w:rsidR="004452BC" w:rsidRPr="004452BC" w:rsidRDefault="004452BC" w:rsidP="004452BC">
            <w:pPr>
              <w:jc w:val="both"/>
              <w:rPr>
                <w:sz w:val="20"/>
                <w:szCs w:val="20"/>
              </w:rPr>
            </w:pPr>
            <w:r w:rsidRPr="004452BC">
              <w:rPr>
                <w:sz w:val="20"/>
                <w:szCs w:val="20"/>
              </w:rPr>
              <w:t>_________________________</w:t>
            </w:r>
          </w:p>
          <w:p w:rsidR="004452BC" w:rsidRPr="004452BC" w:rsidRDefault="004452BC" w:rsidP="004452BC">
            <w:pPr>
              <w:suppressAutoHyphens w:val="0"/>
              <w:rPr>
                <w:lang w:eastAsia="ru-RU"/>
              </w:rPr>
            </w:pPr>
            <w:r w:rsidRPr="004452BC">
              <w:rPr>
                <w:lang w:eastAsia="ru-RU"/>
              </w:rPr>
              <w:t xml:space="preserve">Тел </w:t>
            </w:r>
          </w:p>
          <w:p w:rsidR="004452BC" w:rsidRPr="004452BC" w:rsidRDefault="004452BC" w:rsidP="004452BC">
            <w:pPr>
              <w:widowControl w:val="0"/>
              <w:autoSpaceDE w:val="0"/>
              <w:jc w:val="both"/>
            </w:pPr>
            <w:proofErr w:type="gramStart"/>
            <w:r w:rsidRPr="004452BC">
              <w:t>Е</w:t>
            </w:r>
            <w:proofErr w:type="gramEnd"/>
            <w:r w:rsidRPr="004452BC">
              <w:t>-</w:t>
            </w:r>
            <w:proofErr w:type="spellStart"/>
            <w:r w:rsidRPr="004452BC">
              <w:t>mail</w:t>
            </w:r>
            <w:proofErr w:type="spellEnd"/>
            <w:r w:rsidRPr="004452BC">
              <w:t xml:space="preserve">: </w:t>
            </w:r>
          </w:p>
          <w:p w:rsidR="004452BC" w:rsidRPr="004452BC" w:rsidRDefault="004452BC" w:rsidP="004452BC">
            <w:pPr>
              <w:keepNext/>
              <w:keepLines/>
              <w:widowControl w:val="0"/>
              <w:autoSpaceDN w:val="0"/>
              <w:jc w:val="both"/>
              <w:textAlignment w:val="baseline"/>
              <w:outlineLvl w:val="2"/>
              <w:rPr>
                <w:kern w:val="1"/>
              </w:rPr>
            </w:pPr>
          </w:p>
          <w:p w:rsidR="004452BC" w:rsidRPr="004452BC" w:rsidRDefault="004452BC" w:rsidP="004452BC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4452BC" w:rsidRPr="004452BC" w:rsidTr="00BE608B">
        <w:trPr>
          <w:trHeight w:val="1427"/>
        </w:trPr>
        <w:tc>
          <w:tcPr>
            <w:tcW w:w="4820" w:type="dxa"/>
          </w:tcPr>
          <w:p w:rsidR="004452BC" w:rsidRPr="004452BC" w:rsidRDefault="004452BC" w:rsidP="004452BC">
            <w:pPr>
              <w:keepNext/>
              <w:keepLines/>
              <w:widowControl w:val="0"/>
              <w:autoSpaceDN w:val="0"/>
              <w:jc w:val="both"/>
              <w:textAlignment w:val="baseline"/>
              <w:outlineLvl w:val="2"/>
              <w:rPr>
                <w:kern w:val="1"/>
              </w:rPr>
            </w:pPr>
          </w:p>
          <w:p w:rsidR="004452BC" w:rsidRPr="004452BC" w:rsidRDefault="004452BC" w:rsidP="004452BC">
            <w:pPr>
              <w:widowControl w:val="0"/>
              <w:autoSpaceDN w:val="0"/>
              <w:jc w:val="both"/>
              <w:textAlignment w:val="baseline"/>
              <w:rPr>
                <w:kern w:val="1"/>
              </w:rPr>
            </w:pPr>
            <w:r w:rsidRPr="004452BC">
              <w:rPr>
                <w:kern w:val="1"/>
              </w:rPr>
              <w:t>___________________/ __________/</w:t>
            </w:r>
          </w:p>
          <w:p w:rsidR="004452BC" w:rsidRPr="004452BC" w:rsidRDefault="004452BC" w:rsidP="004452BC">
            <w:pPr>
              <w:widowControl w:val="0"/>
              <w:autoSpaceDN w:val="0"/>
              <w:jc w:val="both"/>
              <w:textAlignment w:val="baseline"/>
              <w:rPr>
                <w:kern w:val="1"/>
              </w:rPr>
            </w:pPr>
          </w:p>
        </w:tc>
      </w:tr>
    </w:tbl>
    <w:p w:rsidR="004452BC" w:rsidRDefault="004452BC">
      <w:pPr>
        <w:jc w:val="both"/>
        <w:rPr>
          <w:rFonts w:eastAsia="Calibri"/>
          <w:b/>
          <w:lang w:eastAsia="ru-RU"/>
        </w:rPr>
      </w:pPr>
    </w:p>
    <w:sectPr w:rsidR="004452BC">
      <w:footerReference w:type="default" r:id="rId7"/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FA" w:rsidRDefault="004221FA">
      <w:r>
        <w:separator/>
      </w:r>
    </w:p>
  </w:endnote>
  <w:endnote w:type="continuationSeparator" w:id="0">
    <w:p w:rsidR="004221FA" w:rsidRDefault="004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5D" w:rsidRDefault="00382452">
    <w:pPr>
      <w:pStyle w:val="a9"/>
    </w:pPr>
    <w:r>
      <w:t>ЧУЗ «КБ «РЖД-Медицина» г. Оренбург»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FA" w:rsidRDefault="004221FA">
      <w:r>
        <w:separator/>
      </w:r>
    </w:p>
  </w:footnote>
  <w:footnote w:type="continuationSeparator" w:id="0">
    <w:p w:rsidR="004221FA" w:rsidRDefault="0042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2"/>
    <w:rsid w:val="00001BF9"/>
    <w:rsid w:val="000060B5"/>
    <w:rsid w:val="0001147F"/>
    <w:rsid w:val="00032BA3"/>
    <w:rsid w:val="00046182"/>
    <w:rsid w:val="00070B17"/>
    <w:rsid w:val="00070E24"/>
    <w:rsid w:val="00080149"/>
    <w:rsid w:val="00097597"/>
    <w:rsid w:val="000A693B"/>
    <w:rsid w:val="000C1B5D"/>
    <w:rsid w:val="000E7BDC"/>
    <w:rsid w:val="000F3FEE"/>
    <w:rsid w:val="000F53F8"/>
    <w:rsid w:val="00100DBA"/>
    <w:rsid w:val="00122EED"/>
    <w:rsid w:val="00154CE8"/>
    <w:rsid w:val="0017546E"/>
    <w:rsid w:val="00180D2B"/>
    <w:rsid w:val="0018222A"/>
    <w:rsid w:val="00186643"/>
    <w:rsid w:val="00192295"/>
    <w:rsid w:val="001948B2"/>
    <w:rsid w:val="001A281E"/>
    <w:rsid w:val="001A415C"/>
    <w:rsid w:val="001B1EF2"/>
    <w:rsid w:val="001B4165"/>
    <w:rsid w:val="001C14FB"/>
    <w:rsid w:val="001D1CF6"/>
    <w:rsid w:val="001E324A"/>
    <w:rsid w:val="001E3FAA"/>
    <w:rsid w:val="001E5D40"/>
    <w:rsid w:val="001E7915"/>
    <w:rsid w:val="001F4818"/>
    <w:rsid w:val="002026ED"/>
    <w:rsid w:val="00211F2C"/>
    <w:rsid w:val="00215910"/>
    <w:rsid w:val="00227017"/>
    <w:rsid w:val="00243F1F"/>
    <w:rsid w:val="002567C8"/>
    <w:rsid w:val="00262B58"/>
    <w:rsid w:val="0026583D"/>
    <w:rsid w:val="00271F56"/>
    <w:rsid w:val="00276A3D"/>
    <w:rsid w:val="00283AE7"/>
    <w:rsid w:val="002A22C7"/>
    <w:rsid w:val="002C4382"/>
    <w:rsid w:val="002D1859"/>
    <w:rsid w:val="002D32DE"/>
    <w:rsid w:val="002D57ED"/>
    <w:rsid w:val="002D6E57"/>
    <w:rsid w:val="002F1036"/>
    <w:rsid w:val="002F1A5E"/>
    <w:rsid w:val="002F3AA3"/>
    <w:rsid w:val="00300B58"/>
    <w:rsid w:val="00304748"/>
    <w:rsid w:val="00305929"/>
    <w:rsid w:val="00307D0D"/>
    <w:rsid w:val="003406A6"/>
    <w:rsid w:val="00346F59"/>
    <w:rsid w:val="0036246F"/>
    <w:rsid w:val="00377B73"/>
    <w:rsid w:val="00382452"/>
    <w:rsid w:val="003825D3"/>
    <w:rsid w:val="00382909"/>
    <w:rsid w:val="00385FA7"/>
    <w:rsid w:val="0039357A"/>
    <w:rsid w:val="0039754C"/>
    <w:rsid w:val="003A253B"/>
    <w:rsid w:val="003A2B58"/>
    <w:rsid w:val="003B0DC2"/>
    <w:rsid w:val="003C64E9"/>
    <w:rsid w:val="003D164B"/>
    <w:rsid w:val="003D384F"/>
    <w:rsid w:val="0040727B"/>
    <w:rsid w:val="00411DC8"/>
    <w:rsid w:val="004221FA"/>
    <w:rsid w:val="004452BC"/>
    <w:rsid w:val="004A2485"/>
    <w:rsid w:val="004A2CB2"/>
    <w:rsid w:val="004A3BBC"/>
    <w:rsid w:val="004A71A2"/>
    <w:rsid w:val="004B42CD"/>
    <w:rsid w:val="004B5BBE"/>
    <w:rsid w:val="004C7E03"/>
    <w:rsid w:val="004D6487"/>
    <w:rsid w:val="004E413D"/>
    <w:rsid w:val="004F09FA"/>
    <w:rsid w:val="004F260E"/>
    <w:rsid w:val="004F6823"/>
    <w:rsid w:val="00504186"/>
    <w:rsid w:val="005159EB"/>
    <w:rsid w:val="00524927"/>
    <w:rsid w:val="00551BDF"/>
    <w:rsid w:val="00582F33"/>
    <w:rsid w:val="005A13D9"/>
    <w:rsid w:val="005C6489"/>
    <w:rsid w:val="005E46AA"/>
    <w:rsid w:val="006064D1"/>
    <w:rsid w:val="00623140"/>
    <w:rsid w:val="00625DA5"/>
    <w:rsid w:val="00627D7B"/>
    <w:rsid w:val="00643534"/>
    <w:rsid w:val="00654442"/>
    <w:rsid w:val="00655782"/>
    <w:rsid w:val="00660A32"/>
    <w:rsid w:val="00694868"/>
    <w:rsid w:val="006C3600"/>
    <w:rsid w:val="006D0413"/>
    <w:rsid w:val="006D65EA"/>
    <w:rsid w:val="006E42C6"/>
    <w:rsid w:val="007108D6"/>
    <w:rsid w:val="00715CCF"/>
    <w:rsid w:val="00725ECB"/>
    <w:rsid w:val="007374BA"/>
    <w:rsid w:val="00747740"/>
    <w:rsid w:val="00765AA2"/>
    <w:rsid w:val="00790C6E"/>
    <w:rsid w:val="007A5144"/>
    <w:rsid w:val="007B434E"/>
    <w:rsid w:val="007C4B8A"/>
    <w:rsid w:val="007D75ED"/>
    <w:rsid w:val="007E4DC1"/>
    <w:rsid w:val="007E5807"/>
    <w:rsid w:val="00822AB0"/>
    <w:rsid w:val="00841D13"/>
    <w:rsid w:val="00854B17"/>
    <w:rsid w:val="00855314"/>
    <w:rsid w:val="008561D5"/>
    <w:rsid w:val="00860427"/>
    <w:rsid w:val="00867B6A"/>
    <w:rsid w:val="00874311"/>
    <w:rsid w:val="00884AAC"/>
    <w:rsid w:val="008D0AA8"/>
    <w:rsid w:val="008D1D3F"/>
    <w:rsid w:val="008D7B20"/>
    <w:rsid w:val="008E5B09"/>
    <w:rsid w:val="008F1EAF"/>
    <w:rsid w:val="00901E18"/>
    <w:rsid w:val="00910E4C"/>
    <w:rsid w:val="009179F7"/>
    <w:rsid w:val="00932192"/>
    <w:rsid w:val="009336DE"/>
    <w:rsid w:val="00946643"/>
    <w:rsid w:val="00954CE2"/>
    <w:rsid w:val="00957ACE"/>
    <w:rsid w:val="00964B11"/>
    <w:rsid w:val="00970F29"/>
    <w:rsid w:val="00973AED"/>
    <w:rsid w:val="009744CB"/>
    <w:rsid w:val="0098440D"/>
    <w:rsid w:val="00987F88"/>
    <w:rsid w:val="00990711"/>
    <w:rsid w:val="00991434"/>
    <w:rsid w:val="009A6144"/>
    <w:rsid w:val="009B0ECE"/>
    <w:rsid w:val="009B44BA"/>
    <w:rsid w:val="009C195D"/>
    <w:rsid w:val="009D5C96"/>
    <w:rsid w:val="009D6AAF"/>
    <w:rsid w:val="009E3F8C"/>
    <w:rsid w:val="009F5245"/>
    <w:rsid w:val="009F5492"/>
    <w:rsid w:val="00A01712"/>
    <w:rsid w:val="00A1288C"/>
    <w:rsid w:val="00A24835"/>
    <w:rsid w:val="00A47B34"/>
    <w:rsid w:val="00A610AA"/>
    <w:rsid w:val="00A65D70"/>
    <w:rsid w:val="00A71A39"/>
    <w:rsid w:val="00A77DE7"/>
    <w:rsid w:val="00A93DB7"/>
    <w:rsid w:val="00AA1DC7"/>
    <w:rsid w:val="00AA5960"/>
    <w:rsid w:val="00AB093B"/>
    <w:rsid w:val="00AB5E8F"/>
    <w:rsid w:val="00AC1FC9"/>
    <w:rsid w:val="00AC7552"/>
    <w:rsid w:val="00AD1D95"/>
    <w:rsid w:val="00AD22D6"/>
    <w:rsid w:val="00AE3CA9"/>
    <w:rsid w:val="00AE6E88"/>
    <w:rsid w:val="00AF31D1"/>
    <w:rsid w:val="00B01F25"/>
    <w:rsid w:val="00B067B4"/>
    <w:rsid w:val="00B26244"/>
    <w:rsid w:val="00B40BD1"/>
    <w:rsid w:val="00B41C74"/>
    <w:rsid w:val="00B42904"/>
    <w:rsid w:val="00B44529"/>
    <w:rsid w:val="00B51864"/>
    <w:rsid w:val="00B677DE"/>
    <w:rsid w:val="00B67CF0"/>
    <w:rsid w:val="00B70C7E"/>
    <w:rsid w:val="00B9518F"/>
    <w:rsid w:val="00B95A94"/>
    <w:rsid w:val="00BA329F"/>
    <w:rsid w:val="00BC1941"/>
    <w:rsid w:val="00BC2B2E"/>
    <w:rsid w:val="00BD1216"/>
    <w:rsid w:val="00BD6634"/>
    <w:rsid w:val="00BE1DC1"/>
    <w:rsid w:val="00BF1B95"/>
    <w:rsid w:val="00C0148F"/>
    <w:rsid w:val="00C11236"/>
    <w:rsid w:val="00C34A0A"/>
    <w:rsid w:val="00C53155"/>
    <w:rsid w:val="00CA015D"/>
    <w:rsid w:val="00CB6157"/>
    <w:rsid w:val="00CC32BB"/>
    <w:rsid w:val="00CC3D79"/>
    <w:rsid w:val="00CD340D"/>
    <w:rsid w:val="00CD6C19"/>
    <w:rsid w:val="00D13FF3"/>
    <w:rsid w:val="00D2517C"/>
    <w:rsid w:val="00D26355"/>
    <w:rsid w:val="00D36A98"/>
    <w:rsid w:val="00D53091"/>
    <w:rsid w:val="00D6182E"/>
    <w:rsid w:val="00D82DE3"/>
    <w:rsid w:val="00DA26B3"/>
    <w:rsid w:val="00DB6C61"/>
    <w:rsid w:val="00DC41CA"/>
    <w:rsid w:val="00DC4E48"/>
    <w:rsid w:val="00DD6493"/>
    <w:rsid w:val="00DE536F"/>
    <w:rsid w:val="00E12417"/>
    <w:rsid w:val="00E13736"/>
    <w:rsid w:val="00E2578F"/>
    <w:rsid w:val="00E35E79"/>
    <w:rsid w:val="00E422F1"/>
    <w:rsid w:val="00E50C24"/>
    <w:rsid w:val="00E639DB"/>
    <w:rsid w:val="00E65153"/>
    <w:rsid w:val="00E74C8A"/>
    <w:rsid w:val="00E76395"/>
    <w:rsid w:val="00E80FD1"/>
    <w:rsid w:val="00E85624"/>
    <w:rsid w:val="00E94C56"/>
    <w:rsid w:val="00EB303E"/>
    <w:rsid w:val="00EB4936"/>
    <w:rsid w:val="00EC00BB"/>
    <w:rsid w:val="00EC6F53"/>
    <w:rsid w:val="00EF5971"/>
    <w:rsid w:val="00EF725C"/>
    <w:rsid w:val="00F0111F"/>
    <w:rsid w:val="00F04064"/>
    <w:rsid w:val="00F13EB8"/>
    <w:rsid w:val="00F25FA5"/>
    <w:rsid w:val="00F45FD6"/>
    <w:rsid w:val="00F6281D"/>
    <w:rsid w:val="00F71FAA"/>
    <w:rsid w:val="00F76C7F"/>
    <w:rsid w:val="00F94886"/>
    <w:rsid w:val="00FA7673"/>
    <w:rsid w:val="00FB57FB"/>
    <w:rsid w:val="00FC36C6"/>
    <w:rsid w:val="00FE14EB"/>
    <w:rsid w:val="00FF3683"/>
    <w:rsid w:val="00FF61F0"/>
    <w:rsid w:val="1A4B6928"/>
    <w:rsid w:val="6BF3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suppressAutoHyphens w:val="0"/>
      <w:spacing w:after="120" w:line="480" w:lineRule="auto"/>
    </w:pPr>
    <w:rPr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paragraph" w:styleId="21">
    <w:name w:val="List 2"/>
    <w:basedOn w:val="a"/>
    <w:uiPriority w:val="99"/>
    <w:unhideWhenUsed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table" w:styleId="ac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suppressAutoHyphens/>
      <w:autoSpaceDN w:val="0"/>
    </w:pPr>
    <w:rPr>
      <w:rFonts w:eastAsia="Calibri"/>
      <w:kern w:val="3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ableParagraph">
    <w:name w:val="Table Paragraph"/>
    <w:basedOn w:val="a"/>
    <w:uiPriority w:val="1"/>
    <w:qFormat/>
    <w:pPr>
      <w:widowControl w:val="0"/>
      <w:suppressAutoHyphens w:val="0"/>
      <w:autoSpaceDE w:val="0"/>
      <w:autoSpaceDN w:val="0"/>
      <w:spacing w:line="252" w:lineRule="exact"/>
      <w:ind w:left="105"/>
      <w:jc w:val="center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fontstyle0">
    <w:name w:val="fontstyle0"/>
    <w:basedOn w:val="a0"/>
    <w:qFormat/>
  </w:style>
  <w:style w:type="paragraph" w:customStyle="1" w:styleId="ConsNormal">
    <w:name w:val="ConsNormal"/>
    <w:link w:val="Con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suppressAutoHyphens w:val="0"/>
      <w:spacing w:after="120" w:line="480" w:lineRule="auto"/>
    </w:pPr>
    <w:rPr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paragraph" w:styleId="21">
    <w:name w:val="List 2"/>
    <w:basedOn w:val="a"/>
    <w:uiPriority w:val="99"/>
    <w:unhideWhenUsed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table" w:styleId="ac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suppressAutoHyphens/>
      <w:autoSpaceDN w:val="0"/>
    </w:pPr>
    <w:rPr>
      <w:rFonts w:eastAsia="Calibri"/>
      <w:kern w:val="3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ableParagraph">
    <w:name w:val="Table Paragraph"/>
    <w:basedOn w:val="a"/>
    <w:uiPriority w:val="1"/>
    <w:qFormat/>
    <w:pPr>
      <w:widowControl w:val="0"/>
      <w:suppressAutoHyphens w:val="0"/>
      <w:autoSpaceDE w:val="0"/>
      <w:autoSpaceDN w:val="0"/>
      <w:spacing w:line="252" w:lineRule="exact"/>
      <w:ind w:left="105"/>
      <w:jc w:val="center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fontstyle0">
    <w:name w:val="fontstyle0"/>
    <w:basedOn w:val="a0"/>
    <w:qFormat/>
  </w:style>
  <w:style w:type="paragraph" w:customStyle="1" w:styleId="ConsNormal">
    <w:name w:val="ConsNormal"/>
    <w:link w:val="Con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cp:lastPrinted>2024-10-23T09:32:00Z</cp:lastPrinted>
  <dcterms:created xsi:type="dcterms:W3CDTF">2024-06-11T11:32:00Z</dcterms:created>
  <dcterms:modified xsi:type="dcterms:W3CDTF">2024-12-20T04:20:00Z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87D4BA02D9794427B3D8D8F51C3369E7_13</vt:lpwstr>
  </property>
</Properties>
</file>