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Техническое задание на закупку №</w:t>
      </w:r>
      <w:r w:rsidR="00001BF9">
        <w:rPr>
          <w:rFonts w:eastAsiaTheme="minorHAnsi"/>
          <w:b/>
        </w:rPr>
        <w:t xml:space="preserve"> </w:t>
      </w:r>
      <w:r w:rsidR="00001BF9" w:rsidRPr="00001BF9">
        <w:rPr>
          <w:rFonts w:eastAsiaTheme="minorHAnsi"/>
          <w:b/>
        </w:rPr>
        <w:t>24060205074</w:t>
      </w:r>
      <w:bookmarkStart w:id="0" w:name="_GoBack"/>
      <w:bookmarkEnd w:id="0"/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на поставку реагентов для биохимического анализатора MIURA-200</w:t>
      </w:r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C1B5D" w:rsidRDefault="000C1B5D">
      <w:pPr>
        <w:jc w:val="center"/>
        <w:rPr>
          <w:rFonts w:eastAsia="Calibri"/>
          <w:b/>
          <w:lang w:eastAsia="ru-RU"/>
        </w:rPr>
      </w:pPr>
    </w:p>
    <w:tbl>
      <w:tblPr>
        <w:tblStyle w:val="ac"/>
        <w:tblW w:w="9958" w:type="dxa"/>
        <w:tblLayout w:type="fixed"/>
        <w:tblLook w:val="04A0" w:firstRow="1" w:lastRow="0" w:firstColumn="1" w:lastColumn="0" w:noHBand="0" w:noVBand="1"/>
      </w:tblPr>
      <w:tblGrid>
        <w:gridCol w:w="623"/>
        <w:gridCol w:w="1924"/>
        <w:gridCol w:w="5812"/>
        <w:gridCol w:w="851"/>
        <w:gridCol w:w="748"/>
      </w:tblGrid>
      <w:tr w:rsidR="000C1B5D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24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12" w:type="dxa"/>
          </w:tcPr>
          <w:p w:rsidR="000C1B5D" w:rsidRDefault="00382452">
            <w:pPr>
              <w:ind w:left="-121" w:right="-1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851" w:type="dxa"/>
            <w:shd w:val="clear" w:color="auto" w:fill="auto"/>
          </w:tcPr>
          <w:p w:rsidR="000C1B5D" w:rsidRDefault="00382452">
            <w:pPr>
              <w:ind w:left="-121" w:right="-16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48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Глюкоза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GOD</w:t>
            </w: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глюкозы в сыворотке, плазме крови и моче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глюкозооксидазным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(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GOD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PAP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)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Объем: не менее 5х50 мл. Верхняя граница линейности не менее 30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реагента после вскрытия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6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Белок общий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концентрации общего белка в сыворотке и плазме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крови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колориметрическим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биуретовым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Объем: не менее 5х50 мл. Верхняя граница линейности не менее 120 г/л. Стабильность реагентов  после вскрытия флаконов в течение не менее 12 мес.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Триглицериды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Назначение: для определения концентрации триглицеридов в сыворотке и плазме крови ферментативным колориметрическим методом (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GPO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PAP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).Форма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Объем: не менее 5х50 мл. Верхняя граница линейности не менее 11,4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8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Набор реагентов для определения ЛВП-холестерина</w:t>
            </w:r>
          </w:p>
          <w:p w:rsidR="000C1B5D" w:rsidRDefault="00382452">
            <w:pPr>
              <w:textAlignment w:val="center"/>
              <w:rPr>
                <w:rFonts w:eastAsia="SimSun"/>
                <w:color w:val="000000"/>
                <w:sz w:val="22"/>
                <w:szCs w:val="22"/>
                <w:lang w:bidi="ar"/>
              </w:rPr>
            </w:pPr>
            <w:r>
              <w:rPr>
                <w:rFonts w:eastAsia="SimSun"/>
                <w:color w:val="000000"/>
                <w:sz w:val="22"/>
                <w:szCs w:val="22"/>
              </w:rPr>
              <w:t>для автоматического анализатора 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ЛВП-холестерина в сыворотке крови методом осаждения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фосфорновольфрамовой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кислотой с магнием хлористым.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 реагента: не менее  1х100 мл. Верхняя граница линейности не менее 3,0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Наличие калибратора. Стабильность реагента после вскрытия флакона на протяжении всего срока годности (18-25°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8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АЛТ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IFCC</w:t>
            </w: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активности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аланинаминотрансферазы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сыворотке и плазме крови УФ кинетическим методом без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пиридоксальфосфата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,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IFCC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Объем: Реагент 1  не менее 4х48 мл, Реагент 2 не менее 4х14 мл. Верхняя граница линейности не менее 600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Е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АСТ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IFCC</w:t>
            </w: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активности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аспартатаминотрансферазы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сыворотке и плазме крови УФ кинетическим методом без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пиридоксальфосфата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,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IFCC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Фасовка: Реагент 1 не менее 4х48 мл, Реагент 2 не менее 4х14 мл. Верхняя граница линейности не менее 800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Е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Мочевина УФ для автоматического </w:t>
            </w: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lastRenderedPageBreak/>
              <w:t xml:space="preserve">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lastRenderedPageBreak/>
              <w:t>Назначение: для определения мочевины в сыворотке, плазме крови и моче У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Ф-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кинетическим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уреазным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/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глутаматдегидрогеназным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lastRenderedPageBreak/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 реагента: Реагент 1 не менее 4х48 мл, Реагент 2 не менее 4х14 мл. Верхняя граница линейности не менее  50,0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реагента после вскрытия на протяжении всего срока годности  при температуре 2-8°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lastRenderedPageBreak/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Креатинин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-Ново-А (</w:t>
            </w: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)</w:t>
            </w:r>
            <w:proofErr w:type="gram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,</w:t>
            </w:r>
            <w:proofErr w:type="gram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</w:t>
            </w:r>
            <w:r w:rsidRPr="004452BC">
              <w:rPr>
                <w:rFonts w:eastAsia="SimSun"/>
                <w:color w:val="000000"/>
                <w:sz w:val="22"/>
                <w:szCs w:val="22"/>
              </w:rPr>
              <w:t xml:space="preserve">для автоматического анализатора </w:t>
            </w:r>
            <w:r>
              <w:rPr>
                <w:rFonts w:eastAsia="SimSun"/>
                <w:color w:val="000000"/>
                <w:sz w:val="22"/>
                <w:szCs w:val="22"/>
                <w:lang w:val="en-US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концентрации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креатинина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сыворотке, плазме крови и моче кинетическим методом Яффе с движущейся холостой пробой и компенсацией.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Объем: Реагент 1 не менее 4х48 мл, Реагент 2 не менее 4х12 мл. Верхняя граница линейности не менее 3800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мкмоль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</w:rPr>
              <w:t xml:space="preserve">Амилаза для автоматического анализатора </w:t>
            </w:r>
            <w:r>
              <w:rPr>
                <w:rFonts w:eastAsia="SimSun"/>
                <w:color w:val="000000"/>
                <w:sz w:val="22"/>
                <w:szCs w:val="22"/>
                <w:lang w:val="en-US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общей активности </w:t>
            </w:r>
            <w:proofErr w:type="gramStart"/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a</w:t>
            </w:r>
            <w:proofErr w:type="spellStart"/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льфа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-амилазы в сыворотке, плазме крови и моче кинетическим методом, субстрат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CNP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-олигосахарид.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Объем: не менее 5х50 мл. Верхняя граница линейности не менее 2000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Е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 Стабильность реагентов 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2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top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Билирубин прямой 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конъюгированного (прямого) билирубина в сыворотке и плазме крови колориметрическим методом с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диазотированной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сульфаниловой кислотой. Форма выпуска: жидкие реагенты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 реагента: Реагент 1 не менее 4х40 мл, Реагент 2 не менее 4х10 мл, Реагент 3 не менее 4х1 мл. Верхняя граница линейности не менее 171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мкмоль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Наличие калибратора. Стабильность реагента после вскрытия на протяжении всего срока годности  при температуре 2-8°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2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top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Мочевая </w:t>
            </w:r>
            <w:proofErr w:type="gram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кислота-Ново</w:t>
            </w:r>
            <w:proofErr w:type="gram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жидкая форма </w:t>
            </w: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Миура</w:t>
            </w:r>
            <w:proofErr w:type="spellEnd"/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концентрации мочевой кислоты в сыворотке, плазме крови и моче ферментативным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Объем: не менее 4х50 мл. Верхняя граница линейности не менее 1500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мкмоль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3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Раствор </w:t>
            </w: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Экстрана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концентрированный очищающий раствор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экстрана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15%, высокоочищенный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 реагента: не менее 1×250  мл. Условия хранения после вскрытия в течение всего срока годности в плотно закрытом виде, в защищенном от света месте при температуре 2-25°С.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8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Раствор Тритона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концентрированный системный раствор Тритона Х-100 0,2% высокоочищенный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 реагента: не менее 1×250  мл. Условия хранения после вскрытия в течение всего срока годности в плотно закрытом виде, в защищенном от света месте при температуре 2-25°С.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15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Гликогемоглобин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латекс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Набор реагентов для определения содержания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гликозилированного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гемоглобина в крови (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иммунотурбидиметрический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метод). Набор для ручного анализа, полуавтоматических и автоматических анализаторов.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Форма выпуска: жидкие реагенты. Объем реагента: Реагент 1 не менее 2х25 мл, Реагент 2 не менее 1х10 мл. Верхняя 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lastRenderedPageBreak/>
              <w:t xml:space="preserve">граница линейности не менее 140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/моль. 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lastRenderedPageBreak/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Калий-Ново</w:t>
            </w:r>
            <w:proofErr w:type="gram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</w:t>
            </w:r>
          </w:p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концентрации калия в сыворотке и плазме крови  турбидиметрическим методом. 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 реагента: не менее 1х50 мл. Верхняя граница линейности не менее 10,0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Наличие калибратора. Реагент и калибратор после вскрытия флаконов стабильны не менее 3 мес. при температуре 18–25°С.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5D" w:rsidRDefault="00382452">
            <w:pPr>
              <w:textAlignment w:val="center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Микроальбумин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-Ново </w:t>
            </w:r>
          </w:p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концентрации альбумина в моче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иммунотурбидиметрическим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Объем реагента: Реагент 1 не менее 1х48 мл, Реагент 2 не менее 1х8 мл. Верхняя граница линейности не менее 400,0 мг/л. Наличие калибратора. Реагенты после вскрытия флаконов стабильны в течение всего срока годности набора в плотно закрытом виде при температуре 2-8°С.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4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Холестерин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Назначение: для определения концентрации  общего холестерина в сыворотке и плазме крови ферментативным колориметрическим методом (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CHOD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-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PAP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).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 реагента: не менее 5х50 мл. Верхняя граница линейности не менее 26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реагента после вскрытия на протяжении всего срока годности  при температуре 2-8°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6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Щелочная фосфатаза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IFC</w:t>
            </w:r>
            <w:proofErr w:type="gramStart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>С</w:t>
            </w:r>
            <w:proofErr w:type="gramEnd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активности щелочной фосфатазы в сыворотке и плазме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крови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кинетическим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IFCC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методом.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анализатора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  Объем: Реагент 1 не менее  4х48 мл, Реагент 2 не менее 4х14 мл. Верхняя граница линейности не менее 1500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Е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реагента после вскрытия на протяжении всего срока годности  при температуре 2-8°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C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2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5D" w:rsidRDefault="00382452">
            <w:pPr>
              <w:textAlignment w:val="center"/>
              <w:rPr>
                <w:sz w:val="22"/>
                <w:szCs w:val="22"/>
              </w:rPr>
            </w:pPr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Кальций </w:t>
            </w:r>
            <w:proofErr w:type="spellStart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>Арсеназо</w:t>
            </w:r>
            <w:proofErr w:type="spellEnd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Вариант комплектации 5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кальция в сыворотке, плазме крови и моче колориметрическим методом с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арсеназо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III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.Форма выпуска: жидкий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монореагент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. Объем:  не менее 5х50 мл. Верхняя граница линейности не менее 6,0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 Стабильность реагентов 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2</w:t>
            </w:r>
          </w:p>
        </w:tc>
      </w:tr>
      <w:tr w:rsidR="000C1B5D" w:rsidTr="004452BC">
        <w:tc>
          <w:tcPr>
            <w:tcW w:w="623" w:type="dxa"/>
            <w:shd w:val="clear" w:color="auto" w:fill="auto"/>
          </w:tcPr>
          <w:p w:rsidR="000C1B5D" w:rsidRDefault="003824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5D" w:rsidRDefault="00382452">
            <w:pPr>
              <w:textAlignment w:val="center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Железо-Ново </w:t>
            </w:r>
            <w:proofErr w:type="gramStart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>-А</w:t>
            </w:r>
            <w:proofErr w:type="gramEnd"/>
            <w:r w:rsidRPr="004452BC">
              <w:rPr>
                <w:rFonts w:eastAsia="Arial Cyr"/>
                <w:color w:val="000000"/>
                <w:sz w:val="22"/>
                <w:szCs w:val="22"/>
                <w:lang w:bidi="ar"/>
              </w:rPr>
              <w:t xml:space="preserve"> для автоматического анализатора </w:t>
            </w: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MIURA</w:t>
            </w:r>
          </w:p>
        </w:tc>
        <w:tc>
          <w:tcPr>
            <w:tcW w:w="5812" w:type="dxa"/>
          </w:tcPr>
          <w:p w:rsidR="000C1B5D" w:rsidRDefault="00382452" w:rsidP="004452BC">
            <w:pPr>
              <w:jc w:val="both"/>
              <w:textAlignment w:val="top"/>
              <w:rPr>
                <w:sz w:val="22"/>
                <w:szCs w:val="22"/>
              </w:rPr>
            </w:pP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Назначение: для определения железа в сыворотке и плазме крови колориметрическим методом без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депротеинизации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с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феррозином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Форма выпуска: </w:t>
            </w:r>
            <w:proofErr w:type="gram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жидкий</w:t>
            </w:r>
            <w:proofErr w:type="gram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биреагент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 в картриджах для анализаторов 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MIURA</w:t>
            </w:r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. Объем:  Реагент 1 не менее 4х48 мл, Реагент 2 не менее 4х14 мл. Верхняя граница линейности не менее 200 </w:t>
            </w:r>
            <w:proofErr w:type="spellStart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мкмоль</w:t>
            </w:r>
            <w:proofErr w:type="spellEnd"/>
            <w:r w:rsidRPr="004452BC">
              <w:rPr>
                <w:rFonts w:eastAsia="SimSun"/>
                <w:color w:val="000000"/>
                <w:sz w:val="22"/>
                <w:szCs w:val="22"/>
                <w:lang w:bidi="ar"/>
              </w:rPr>
              <w:t>/л. Стабильность реагентов  после вскрытия флаконов в течение всего срока годности при температуре от 2 до 8 °С.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</w:tcPr>
          <w:p w:rsidR="000C1B5D" w:rsidRDefault="00382452" w:rsidP="004452BC">
            <w:pPr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1</w:t>
            </w:r>
          </w:p>
        </w:tc>
      </w:tr>
    </w:tbl>
    <w:p w:rsidR="000C1B5D" w:rsidRDefault="000C1B5D">
      <w:pPr>
        <w:jc w:val="center"/>
        <w:rPr>
          <w:b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jc w:val="both"/>
        <w:rPr>
          <w:rFonts w:eastAsia="Calibri"/>
          <w:b/>
          <w:lang w:eastAsia="ru-RU"/>
        </w:rPr>
      </w:pPr>
    </w:p>
    <w:p w:rsidR="004452BC" w:rsidRDefault="004452BC">
      <w:pPr>
        <w:jc w:val="both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lastRenderedPageBreak/>
        <w:t>УСЛОВИЯ ЗАКУПКИ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4"/>
        <w:gridCol w:w="3859"/>
        <w:gridCol w:w="5667"/>
      </w:tblGrid>
      <w:tr w:rsidR="004452BC" w:rsidRPr="004452BC" w:rsidTr="00BE608B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4452BC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Данные закупки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  <w:shd w:val="clear" w:color="auto" w:fill="FFFF00"/>
              </w:rPr>
            </w:pPr>
            <w:r w:rsidRPr="004452BC">
              <w:rPr>
                <w:b/>
                <w:sz w:val="20"/>
                <w:szCs w:val="20"/>
              </w:rPr>
              <w:t>Начально максимальная цена договора, порядок формирования цены: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>
              <w:rPr>
                <w:sz w:val="20"/>
                <w:szCs w:val="20"/>
              </w:rPr>
              <w:t>646 870</w:t>
            </w:r>
            <w:r w:rsidRPr="004452B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шестьсот сорок шесть</w:t>
            </w:r>
            <w:r w:rsidRPr="004452BC">
              <w:rPr>
                <w:sz w:val="20"/>
                <w:szCs w:val="20"/>
              </w:rPr>
              <w:t xml:space="preserve">  тысяч </w:t>
            </w:r>
            <w:r>
              <w:rPr>
                <w:sz w:val="20"/>
                <w:szCs w:val="20"/>
              </w:rPr>
              <w:t>восемьсот семьдесят</w:t>
            </w:r>
            <w:r w:rsidRPr="004452BC">
              <w:rPr>
                <w:sz w:val="20"/>
                <w:szCs w:val="20"/>
              </w:rPr>
              <w:t xml:space="preserve">) рублей </w:t>
            </w:r>
            <w:r>
              <w:rPr>
                <w:sz w:val="20"/>
                <w:szCs w:val="20"/>
              </w:rPr>
              <w:t>64</w:t>
            </w:r>
            <w:r w:rsidRPr="004452BC">
              <w:rPr>
                <w:sz w:val="20"/>
                <w:szCs w:val="20"/>
              </w:rPr>
              <w:t xml:space="preserve"> копеек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2.</w:t>
            </w:r>
          </w:p>
          <w:p w:rsidR="004452BC" w:rsidRPr="004452BC" w:rsidRDefault="004452BC" w:rsidP="004452BC">
            <w:pPr>
              <w:jc w:val="center"/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Стоимость товара включает: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Цена единицы товара является фиксированной и изменению в течени</w:t>
            </w:r>
            <w:proofErr w:type="gramStart"/>
            <w:r w:rsidRPr="004452BC">
              <w:rPr>
                <w:sz w:val="20"/>
                <w:szCs w:val="20"/>
              </w:rPr>
              <w:t>и</w:t>
            </w:r>
            <w:proofErr w:type="gramEnd"/>
            <w:r w:rsidRPr="004452BC">
              <w:rPr>
                <w:sz w:val="20"/>
                <w:szCs w:val="20"/>
              </w:rPr>
              <w:t xml:space="preserve"> срока действия договора не подлежит.</w:t>
            </w:r>
          </w:p>
          <w:p w:rsidR="004452BC" w:rsidRPr="004452BC" w:rsidRDefault="004452BC" w:rsidP="004452BC">
            <w:r w:rsidRPr="004452BC">
              <w:rPr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Срок поставки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Место поставки: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1.3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оплаты: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2.2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5.1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упаковке: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Ценовое предложение должно содержать: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1) Заявку  с информацией указанной в Рекомендуемой форме (Приложение №1 Технического задания)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2) Наличие лицензии / аттестатов аккредитации 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3)  Копии документов подтверждающих соответствие участника  и соответствие товара требованиям законодательства РФ.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4) -Наименование товара,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-Наименование организации-изготовителя,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-Страна происхождения,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-Артикул, либо тип оборудования (при наличии),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-Описание характеристик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с определенными показателями (не допускающими двойного толкования),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-Единицу измерения и количество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Покупателя.</w:t>
            </w:r>
          </w:p>
          <w:p w:rsidR="004452BC" w:rsidRPr="004452BC" w:rsidRDefault="004452BC" w:rsidP="004452BC">
            <w:r w:rsidRPr="004452BC">
              <w:rPr>
                <w:bCs/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 случае</w:t>
            </w:r>
            <w:proofErr w:type="gramStart"/>
            <w:r w:rsidRPr="004452BC">
              <w:rPr>
                <w:sz w:val="20"/>
                <w:szCs w:val="20"/>
              </w:rPr>
              <w:t>,</w:t>
            </w:r>
            <w:proofErr w:type="gramEnd"/>
            <w:r w:rsidRPr="004452BC">
              <w:rPr>
                <w:sz w:val="20"/>
                <w:szCs w:val="20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right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Приложение №1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РЕКОМЕДУЕМАЯ ФОРМА ЗАЯВКИ: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Заявку на закупку №_____________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39"/>
        <w:gridCol w:w="1961"/>
        <w:gridCol w:w="688"/>
        <w:gridCol w:w="721"/>
        <w:gridCol w:w="1384"/>
        <w:gridCol w:w="819"/>
        <w:gridCol w:w="946"/>
        <w:gridCol w:w="1390"/>
      </w:tblGrid>
      <w:tr w:rsidR="004452BC" w:rsidRPr="004452BC" w:rsidTr="00BE608B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п</w:t>
            </w:r>
            <w:proofErr w:type="gramEnd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НДС,%.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4452BC" w:rsidRPr="004452BC" w:rsidTr="00BE608B">
        <w:tc>
          <w:tcPr>
            <w:tcW w:w="4820" w:type="dxa"/>
          </w:tcPr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4452BC">
              <w:rPr>
                <w:b/>
                <w:kern w:val="1"/>
              </w:rPr>
              <w:t>Поставщик:</w:t>
            </w:r>
          </w:p>
          <w:p w:rsidR="004452BC" w:rsidRPr="004452BC" w:rsidRDefault="004452BC" w:rsidP="004452BC">
            <w:pPr>
              <w:jc w:val="both"/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_________________________</w:t>
            </w:r>
          </w:p>
          <w:p w:rsidR="004452BC" w:rsidRPr="004452BC" w:rsidRDefault="004452BC" w:rsidP="004452BC">
            <w:pPr>
              <w:suppressAutoHyphens w:val="0"/>
              <w:rPr>
                <w:lang w:eastAsia="ru-RU"/>
              </w:rPr>
            </w:pPr>
            <w:r w:rsidRPr="004452BC">
              <w:rPr>
                <w:lang w:eastAsia="ru-RU"/>
              </w:rPr>
              <w:t xml:space="preserve">Тел </w:t>
            </w:r>
          </w:p>
          <w:p w:rsidR="004452BC" w:rsidRPr="004452BC" w:rsidRDefault="004452BC" w:rsidP="004452BC">
            <w:pPr>
              <w:widowControl w:val="0"/>
              <w:autoSpaceDE w:val="0"/>
              <w:jc w:val="both"/>
            </w:pPr>
            <w:proofErr w:type="gramStart"/>
            <w:r w:rsidRPr="004452BC">
              <w:t>Е</w:t>
            </w:r>
            <w:proofErr w:type="gramEnd"/>
            <w:r w:rsidRPr="004452BC">
              <w:t>-</w:t>
            </w:r>
            <w:proofErr w:type="spellStart"/>
            <w:r w:rsidRPr="004452BC">
              <w:t>mail</w:t>
            </w:r>
            <w:proofErr w:type="spellEnd"/>
            <w:r w:rsidRPr="004452BC">
              <w:t xml:space="preserve">: </w:t>
            </w:r>
          </w:p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452BC" w:rsidRPr="004452BC" w:rsidTr="00BE608B">
        <w:trPr>
          <w:trHeight w:val="1427"/>
        </w:trPr>
        <w:tc>
          <w:tcPr>
            <w:tcW w:w="4820" w:type="dxa"/>
          </w:tcPr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4452BC">
              <w:rPr>
                <w:kern w:val="1"/>
              </w:rPr>
              <w:t>___________________/ __________/</w:t>
            </w: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4452BC" w:rsidRDefault="004452BC">
      <w:pPr>
        <w:jc w:val="both"/>
        <w:rPr>
          <w:rFonts w:eastAsia="Calibri"/>
          <w:b/>
          <w:lang w:eastAsia="ru-RU"/>
        </w:rPr>
      </w:pPr>
    </w:p>
    <w:sectPr w:rsidR="004452BC">
      <w:footerReference w:type="default" r:id="rId7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B8" w:rsidRDefault="00F13EB8">
      <w:r>
        <w:separator/>
      </w:r>
    </w:p>
  </w:endnote>
  <w:endnote w:type="continuationSeparator" w:id="0">
    <w:p w:rsidR="00F13EB8" w:rsidRDefault="00F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5D" w:rsidRDefault="00382452">
    <w:pPr>
      <w:pStyle w:val="a9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B8" w:rsidRDefault="00F13EB8">
      <w:r>
        <w:separator/>
      </w:r>
    </w:p>
  </w:footnote>
  <w:footnote w:type="continuationSeparator" w:id="0">
    <w:p w:rsidR="00F13EB8" w:rsidRDefault="00F1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1BF9"/>
    <w:rsid w:val="000060B5"/>
    <w:rsid w:val="0001147F"/>
    <w:rsid w:val="00032BA3"/>
    <w:rsid w:val="00046182"/>
    <w:rsid w:val="00070B17"/>
    <w:rsid w:val="00070E24"/>
    <w:rsid w:val="00080149"/>
    <w:rsid w:val="00097597"/>
    <w:rsid w:val="000A693B"/>
    <w:rsid w:val="000C1B5D"/>
    <w:rsid w:val="000E7BDC"/>
    <w:rsid w:val="000F3FEE"/>
    <w:rsid w:val="000F53F8"/>
    <w:rsid w:val="00100DBA"/>
    <w:rsid w:val="00122EED"/>
    <w:rsid w:val="00154CE8"/>
    <w:rsid w:val="0017546E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C14FB"/>
    <w:rsid w:val="001D1CF6"/>
    <w:rsid w:val="001E324A"/>
    <w:rsid w:val="001E3FAA"/>
    <w:rsid w:val="001E5D40"/>
    <w:rsid w:val="001E7915"/>
    <w:rsid w:val="001F4818"/>
    <w:rsid w:val="002026ED"/>
    <w:rsid w:val="00211F2C"/>
    <w:rsid w:val="00215910"/>
    <w:rsid w:val="00227017"/>
    <w:rsid w:val="00243F1F"/>
    <w:rsid w:val="002567C8"/>
    <w:rsid w:val="00262B58"/>
    <w:rsid w:val="0026583D"/>
    <w:rsid w:val="00271F56"/>
    <w:rsid w:val="00276A3D"/>
    <w:rsid w:val="00283AE7"/>
    <w:rsid w:val="002A22C7"/>
    <w:rsid w:val="002C4382"/>
    <w:rsid w:val="002D1859"/>
    <w:rsid w:val="002D32DE"/>
    <w:rsid w:val="002D57ED"/>
    <w:rsid w:val="002D6E57"/>
    <w:rsid w:val="002F1036"/>
    <w:rsid w:val="002F1A5E"/>
    <w:rsid w:val="002F3AA3"/>
    <w:rsid w:val="00300B58"/>
    <w:rsid w:val="00304748"/>
    <w:rsid w:val="00305929"/>
    <w:rsid w:val="00307D0D"/>
    <w:rsid w:val="003406A6"/>
    <w:rsid w:val="00346F59"/>
    <w:rsid w:val="0036246F"/>
    <w:rsid w:val="00377B73"/>
    <w:rsid w:val="00382452"/>
    <w:rsid w:val="003825D3"/>
    <w:rsid w:val="00382909"/>
    <w:rsid w:val="00385FA7"/>
    <w:rsid w:val="0039357A"/>
    <w:rsid w:val="0039754C"/>
    <w:rsid w:val="003A253B"/>
    <w:rsid w:val="003A2B58"/>
    <w:rsid w:val="003B0DC2"/>
    <w:rsid w:val="003C64E9"/>
    <w:rsid w:val="003D164B"/>
    <w:rsid w:val="003D384F"/>
    <w:rsid w:val="0040727B"/>
    <w:rsid w:val="00411DC8"/>
    <w:rsid w:val="004452BC"/>
    <w:rsid w:val="004A2485"/>
    <w:rsid w:val="004A2CB2"/>
    <w:rsid w:val="004A3BBC"/>
    <w:rsid w:val="004A71A2"/>
    <w:rsid w:val="004B42CD"/>
    <w:rsid w:val="004B5BBE"/>
    <w:rsid w:val="004C7E03"/>
    <w:rsid w:val="004D6487"/>
    <w:rsid w:val="004E413D"/>
    <w:rsid w:val="004F09FA"/>
    <w:rsid w:val="004F260E"/>
    <w:rsid w:val="004F6823"/>
    <w:rsid w:val="00504186"/>
    <w:rsid w:val="005159EB"/>
    <w:rsid w:val="00524927"/>
    <w:rsid w:val="00551BDF"/>
    <w:rsid w:val="00582F33"/>
    <w:rsid w:val="005A13D9"/>
    <w:rsid w:val="005C6489"/>
    <w:rsid w:val="005E46AA"/>
    <w:rsid w:val="006064D1"/>
    <w:rsid w:val="00623140"/>
    <w:rsid w:val="00625DA5"/>
    <w:rsid w:val="00627D7B"/>
    <w:rsid w:val="00643534"/>
    <w:rsid w:val="00654442"/>
    <w:rsid w:val="00655782"/>
    <w:rsid w:val="00660A32"/>
    <w:rsid w:val="00694868"/>
    <w:rsid w:val="006C3600"/>
    <w:rsid w:val="006D0413"/>
    <w:rsid w:val="006D65EA"/>
    <w:rsid w:val="006E42C6"/>
    <w:rsid w:val="007108D6"/>
    <w:rsid w:val="00715CCF"/>
    <w:rsid w:val="00725ECB"/>
    <w:rsid w:val="007374BA"/>
    <w:rsid w:val="00747740"/>
    <w:rsid w:val="00765AA2"/>
    <w:rsid w:val="00790C6E"/>
    <w:rsid w:val="007A5144"/>
    <w:rsid w:val="007B434E"/>
    <w:rsid w:val="007C4B8A"/>
    <w:rsid w:val="007D75ED"/>
    <w:rsid w:val="007E4DC1"/>
    <w:rsid w:val="007E5807"/>
    <w:rsid w:val="00822AB0"/>
    <w:rsid w:val="00841D13"/>
    <w:rsid w:val="00854B17"/>
    <w:rsid w:val="00855314"/>
    <w:rsid w:val="008561D5"/>
    <w:rsid w:val="00860427"/>
    <w:rsid w:val="00867B6A"/>
    <w:rsid w:val="00874311"/>
    <w:rsid w:val="00884AAC"/>
    <w:rsid w:val="008D0AA8"/>
    <w:rsid w:val="008D1D3F"/>
    <w:rsid w:val="008D7B20"/>
    <w:rsid w:val="008E5B09"/>
    <w:rsid w:val="008F1EAF"/>
    <w:rsid w:val="00901E18"/>
    <w:rsid w:val="00910E4C"/>
    <w:rsid w:val="009179F7"/>
    <w:rsid w:val="00932192"/>
    <w:rsid w:val="009336DE"/>
    <w:rsid w:val="00946643"/>
    <w:rsid w:val="00954CE2"/>
    <w:rsid w:val="00957ACE"/>
    <w:rsid w:val="00964B11"/>
    <w:rsid w:val="00970F29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71A39"/>
    <w:rsid w:val="00A77DE7"/>
    <w:rsid w:val="00A93DB7"/>
    <w:rsid w:val="00AA1DC7"/>
    <w:rsid w:val="00AA5960"/>
    <w:rsid w:val="00AB093B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67B4"/>
    <w:rsid w:val="00B26244"/>
    <w:rsid w:val="00B40BD1"/>
    <w:rsid w:val="00B41C74"/>
    <w:rsid w:val="00B42904"/>
    <w:rsid w:val="00B44529"/>
    <w:rsid w:val="00B51864"/>
    <w:rsid w:val="00B677DE"/>
    <w:rsid w:val="00B67CF0"/>
    <w:rsid w:val="00B70C7E"/>
    <w:rsid w:val="00B9518F"/>
    <w:rsid w:val="00B95A94"/>
    <w:rsid w:val="00BA329F"/>
    <w:rsid w:val="00BC1941"/>
    <w:rsid w:val="00BC2B2E"/>
    <w:rsid w:val="00BD1216"/>
    <w:rsid w:val="00BD6634"/>
    <w:rsid w:val="00BE1DC1"/>
    <w:rsid w:val="00BF1B95"/>
    <w:rsid w:val="00C0148F"/>
    <w:rsid w:val="00C11236"/>
    <w:rsid w:val="00C34A0A"/>
    <w:rsid w:val="00C53155"/>
    <w:rsid w:val="00CA015D"/>
    <w:rsid w:val="00CB6157"/>
    <w:rsid w:val="00CC32BB"/>
    <w:rsid w:val="00CC3D79"/>
    <w:rsid w:val="00CD340D"/>
    <w:rsid w:val="00CD6C19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4C8A"/>
    <w:rsid w:val="00E76395"/>
    <w:rsid w:val="00E80FD1"/>
    <w:rsid w:val="00E85624"/>
    <w:rsid w:val="00E94C56"/>
    <w:rsid w:val="00EB303E"/>
    <w:rsid w:val="00EB4936"/>
    <w:rsid w:val="00EC00BB"/>
    <w:rsid w:val="00EC6F53"/>
    <w:rsid w:val="00EF5971"/>
    <w:rsid w:val="00EF725C"/>
    <w:rsid w:val="00F0111F"/>
    <w:rsid w:val="00F04064"/>
    <w:rsid w:val="00F13EB8"/>
    <w:rsid w:val="00F25FA5"/>
    <w:rsid w:val="00F45FD6"/>
    <w:rsid w:val="00F6281D"/>
    <w:rsid w:val="00F71FAA"/>
    <w:rsid w:val="00F76C7F"/>
    <w:rsid w:val="00F94886"/>
    <w:rsid w:val="00FA7673"/>
    <w:rsid w:val="00FB57FB"/>
    <w:rsid w:val="00FC36C6"/>
    <w:rsid w:val="00FE14EB"/>
    <w:rsid w:val="00FF3683"/>
    <w:rsid w:val="00FF61F0"/>
    <w:rsid w:val="1A4B6928"/>
    <w:rsid w:val="6B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2024-10-23T09:32:00Z</cp:lastPrinted>
  <dcterms:created xsi:type="dcterms:W3CDTF">2024-06-11T11:32:00Z</dcterms:created>
  <dcterms:modified xsi:type="dcterms:W3CDTF">2024-12-09T05:46:00Z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87D4BA02D9794427B3D8D8F51C3369E7_13</vt:lpwstr>
  </property>
</Properties>
</file>