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1DF5" w14:textId="3C67781B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Сублицензионный договор №</w:t>
      </w:r>
    </w:p>
    <w:p w14:paraId="7175F81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права использования</w:t>
      </w:r>
    </w:p>
    <w:p w14:paraId="55BCBF56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программного обеспечения</w:t>
      </w:r>
    </w:p>
    <w:p w14:paraId="45052CAB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F8192" w14:textId="7A7EF110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7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</w:t>
      </w:r>
      <w:r w:rsidR="007B7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66ABBF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28B4" w14:textId="1F0C34CC" w:rsidR="00726E3A" w:rsidRPr="00726E3A" w:rsidRDefault="007B708E" w:rsidP="004368E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726E3A"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«Лицензиат» 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="00C91803" w:rsidRPr="00C9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учреждение здравоохранения «Клиническая больница «РЖД-Медицина» города Чита» (ЧУЗ «КБ «РЖД-Медицина» г. Чита»)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726E3A"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«Сублицензиат»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C91803" w:rsidRP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Макарова Владимира Юрьевича, действующего на основании устава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вместе именуемые «Стороны», заключили настоящий Договор о нижеследующем:</w:t>
      </w:r>
    </w:p>
    <w:p w14:paraId="1B52669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3891FB58" w14:textId="45C79BAD" w:rsidR="00C91803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Лицензиат, с согласия Лицензиара, обязуется предоставить Сублицензиату право использования объекта интеллектуальной собственности</w:t>
      </w:r>
      <w:r w:rsid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0B489F" w14:textId="6227633E" w:rsidR="00C91803" w:rsidRDefault="00C91803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803">
        <w:t xml:space="preserve"> </w:t>
      </w:r>
      <w:r w:rsidRPr="00C91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Аппаратная платформа UserGate D500 (Выгодная защита)</w:t>
      </w:r>
    </w:p>
    <w:p w14:paraId="4337A473" w14:textId="6485B430" w:rsidR="00726E3A" w:rsidRPr="00726E3A" w:rsidRDefault="00C91803" w:rsidP="00C918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6E3A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Программное обеспечение) в порядке, предусмотренном настоящим Договором, а Сублицензиат обязуется уплатить Лицензиату обусловленное настоящим Договором вознаграждение.</w:t>
      </w:r>
    </w:p>
    <w:p w14:paraId="48AC9C94" w14:textId="7524844F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Лицензиат 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 основании, что </w:t>
      </w:r>
      <w:r w:rsidR="00C91803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подтверждается: </w:t>
      </w:r>
      <w:r w:rsidR="007B7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FBA93" w14:textId="00932D3F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целях идентификации Объекта интеллектуальной собственности Лицензиат передает Сублицензиату в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(одном) экземпляре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обеспечение, согласно </w:t>
      </w: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к Программному обеспечению (Приложение № 1 к настоящему Договору), </w:t>
      </w:r>
      <w:r w:rsidR="00C91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аппаратной платформе с установленным программным обеспечением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7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Акту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приемки-передачи объекта интеллектуальной собственности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материальном носителе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согласованной в Приложении № 2 к настоящему Договору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DA566F5" w14:textId="5A3C5060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Лицензиат передает Сублицензиату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 </w:t>
      </w:r>
      <w:r w:rsidRPr="00726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материальном носителе</w:t>
      </w: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_______________________________________, с ______час. до ______час., в будние дни по предварительному согласованию точного времени, в срок:</w:t>
      </w:r>
      <w:r w:rsidR="0043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рабочих дней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F6F87C" w14:textId="14F4C968" w:rsidR="00726E3A" w:rsidRPr="007B708E" w:rsidRDefault="00726E3A" w:rsidP="007B70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действия предоставляемых прав на использование Программного обеспечения </w:t>
      </w:r>
      <w:r w:rsidRPr="00726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составляет:</w:t>
      </w:r>
      <w:r w:rsidR="00C91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бессрочно с возможностью получать обновления в течении 1 года.</w:t>
      </w:r>
    </w:p>
    <w:p w14:paraId="23A78A8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Права, передаваемые лицензиату</w:t>
      </w:r>
    </w:p>
    <w:p w14:paraId="6D7B5DCC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Сублицензия, выдаваемая Сублицензиату по настоящему Договору, является простой (неисключительной). За Лицензиатом сохраняется право выдачи сублицензий другим лицам.</w:t>
      </w:r>
    </w:p>
    <w:p w14:paraId="30CA50C0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2.1.1. 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предоставляется право использования Программного обеспечения следующими способами: __________________________________.</w:t>
      </w:r>
    </w:p>
    <w:p w14:paraId="5C88901E" w14:textId="77665726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По настоящему Договору использование Лицензиатом Программного обеспечения допускается на территории: </w:t>
      </w:r>
      <w:r w:rsidR="00866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EC2B5A" w14:textId="0DDF5441" w:rsidR="00726E3A" w:rsidRPr="00726E3A" w:rsidRDefault="00726E3A" w:rsidP="007B70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 Сублицензиат </w:t>
      </w: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заключать с третьими лицами субсублицензионные договоры на передачу прав на Программное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 без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уведомления Лицензиата.</w:t>
      </w:r>
    </w:p>
    <w:p w14:paraId="52480C76" w14:textId="77777777" w:rsidR="00726E3A" w:rsidRPr="00726E3A" w:rsidRDefault="00726E3A" w:rsidP="00726E3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14:paraId="3112F2F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Лицензиат обязуется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FEECDB" w14:textId="799725F2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Передать Сублицензиату Программное обеспечение в состоянии, позволяющем его использование на условиях настоящего Договора, в течение:</w:t>
      </w:r>
      <w:r w:rsidR="0086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рабочих дней</w:t>
      </w:r>
      <w:r w:rsidR="0086613E"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даты подписания </w:t>
      </w:r>
      <w:r w:rsidR="0086613E"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 настоящего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Договора.</w:t>
      </w:r>
    </w:p>
    <w:p w14:paraId="54D15736" w14:textId="3CE64AF0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Передать Сублицензиату экземпляр Программного обеспечения </w:t>
      </w:r>
      <w:r w:rsidR="0086613E" w:rsidRP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аппаратной платформе с установленным программным обеспечением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содержащем программу для установки, а также техническую документацию к Программному обеспечению.</w:t>
      </w:r>
    </w:p>
    <w:p w14:paraId="1F45B194" w14:textId="4BB0014D" w:rsidR="00726E3A" w:rsidRPr="00726E3A" w:rsidRDefault="00726E3A" w:rsidP="007B708E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</w:t>
      </w:r>
      <w:r w:rsidRPr="00726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BA44DE" w14:textId="77782D9B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Лицензиат вправе</w:t>
      </w:r>
      <w:r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37F0EB2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Требовать своевременного получения вознаграждения в порядке и размере, установленных настоящим Договором.</w:t>
      </w:r>
    </w:p>
    <w:p w14:paraId="30798C89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Сублицензиат обязуется:</w:t>
      </w:r>
    </w:p>
    <w:p w14:paraId="4211300C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Выплатить Лицензиату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14:paraId="286D12C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Использовать Программное обеспечение исключительно способами, предусмотренными настоящим Договором.</w:t>
      </w:r>
    </w:p>
    <w:p w14:paraId="7B753A25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14:paraId="5B449AF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Сублицензиат вправе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F91957" w14:textId="6DBF8545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Предоставить право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Программного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в соответствии с настоящим Договором другому лицу, без письменного согласования с Лицензиатом.</w:t>
      </w:r>
    </w:p>
    <w:p w14:paraId="7C4E203A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 Отказаться от исполнения настоящего Договора, если Лицензиат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потребовать возврата уплаченной денежной суммы.</w:t>
      </w:r>
    </w:p>
    <w:p w14:paraId="5C375A90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Расторгнуть настоящий Договор в одностороннем внесудебном порядке в случае нарушения Лицензиатом требований п.3.1.3. настоящего Договора.</w:t>
      </w:r>
    </w:p>
    <w:p w14:paraId="7F9C3525" w14:textId="3A2ECFF3" w:rsidR="00726E3A" w:rsidRPr="00726E3A" w:rsidRDefault="00726E3A" w:rsidP="007B708E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В случае обмена в целях исполнения настоящего Договора информацией на съемных носителях до направления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передающая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обязана осуществить проверку съемных носителей на предмет отсутствия вредоносного программного обеспечения.</w:t>
      </w:r>
    </w:p>
    <w:p w14:paraId="26AFC50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 Вознаграждение и срок оплаты</w:t>
      </w:r>
    </w:p>
    <w:p w14:paraId="402574E1" w14:textId="22C4012E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Вознаграждение Лицензиата, за предоставление Сублицензиату прав на использование Программного обеспечения по Договору составляет: </w:t>
      </w:r>
      <w:r w:rsidR="007B7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6613E" w:rsidRPr="0086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7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86613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="007B708E" w:rsidRPr="007B7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том числе НДС, либо </w:t>
      </w:r>
      <w:r w:rsidRPr="007B7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НДС не облагается </w:t>
      </w:r>
      <w:r w:rsidR="007B708E" w:rsidRPr="007B7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основании_______</w:t>
      </w:r>
      <w:r w:rsidR="0086613E" w:rsidRPr="007B7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A6B7630" w14:textId="582F370B" w:rsidR="00726E3A" w:rsidRPr="00726E3A" w:rsidRDefault="00726E3A" w:rsidP="0086613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eastAsia="ru-RU"/>
        </w:rPr>
      </w:pPr>
      <w:r w:rsidRPr="00726E3A">
        <w:rPr>
          <w:rFonts w:ascii="Times New Roman" w:eastAsia="Calibri" w:hAnsi="Times New Roman" w:cs="Times New Roman"/>
          <w:i/>
          <w:kern w:val="3"/>
          <w:sz w:val="24"/>
          <w:szCs w:val="24"/>
          <w:lang w:eastAsia="ru-RU"/>
        </w:rPr>
        <w:t xml:space="preserve">4.2. Оплата вознаграждения по настоящему Договору производится Сублицензиатом в течение </w:t>
      </w:r>
      <w:r w:rsidR="0086613E">
        <w:rPr>
          <w:rFonts w:ascii="Times New Roman" w:eastAsia="Calibri" w:hAnsi="Times New Roman" w:cs="Times New Roman"/>
          <w:i/>
          <w:kern w:val="3"/>
          <w:sz w:val="24"/>
          <w:szCs w:val="24"/>
          <w:lang w:eastAsia="ru-RU"/>
        </w:rPr>
        <w:t>60</w:t>
      </w:r>
      <w:r w:rsidRPr="00726E3A">
        <w:rPr>
          <w:rFonts w:ascii="Times New Roman" w:eastAsia="Calibri" w:hAnsi="Times New Roman" w:cs="Times New Roman"/>
          <w:i/>
          <w:kern w:val="3"/>
          <w:sz w:val="24"/>
          <w:szCs w:val="24"/>
          <w:lang w:eastAsia="ru-RU"/>
        </w:rPr>
        <w:t xml:space="preserve"> дней после подписания Сторонами Акта приемки-передачи объекта интеллектуальной собственности на материальном носителе.</w:t>
      </w:r>
    </w:p>
    <w:p w14:paraId="5E70D2D4" w14:textId="38515168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Датой исполнения обязательства Сублицензиата по оплате считается дата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 денежных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с расчетного счета Сублицензиата.</w:t>
      </w:r>
    </w:p>
    <w:p w14:paraId="2954E4A9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Проценты на сумму оплаты по настоящему Договору не начисляются и не уплачиваются.</w:t>
      </w:r>
    </w:p>
    <w:p w14:paraId="5C66E5F2" w14:textId="546E0957" w:rsidR="00726E3A" w:rsidRPr="007B708E" w:rsidRDefault="00726E3A" w:rsidP="007B708E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4.5. Стоимость материального носителя указанного в п. 1.4. включена в стоимость вознаграждения.</w:t>
      </w:r>
    </w:p>
    <w:p w14:paraId="72905485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260769D4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573B912" w14:textId="5AA18810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 сроков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права пользования на Программное обеспечение и (или) документации на право пользования, Лицензиат выплачивает Сублицензиату неустойку в размере 0,1% от размера вознаграждения, указанного в п.4.1. за каждый день просрочки.</w:t>
      </w:r>
    </w:p>
    <w:p w14:paraId="438F8CDA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Лицензиат несет ответственность за качество предоставленных материальных носителей, содержащих экземпляры ПО (если ПО предоставляется на материальных носителях), а также за наличие Документации на русском языке.</w:t>
      </w:r>
    </w:p>
    <w:p w14:paraId="390709AE" w14:textId="12DB33B7" w:rsidR="00726E3A" w:rsidRPr="00726E3A" w:rsidRDefault="00726E3A" w:rsidP="002C49A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Сублицензиатом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конфиденциальной информации в нарушение раздела 6 настоящего Договора, передачи информации на съемных носителях, содержащих вредоносное программное </w:t>
      </w:r>
      <w:r w:rsidR="0086613E"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 Лицензиат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возмещает Сублицензиату убытки и оплачивает штраф в размере </w:t>
      </w:r>
      <w:r w:rsid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0,1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настоящего Договора.</w:t>
      </w:r>
    </w:p>
    <w:p w14:paraId="5E0B2C5B" w14:textId="77777777" w:rsidR="00726E3A" w:rsidRPr="00726E3A" w:rsidRDefault="00726E3A" w:rsidP="00726E3A">
      <w:pPr>
        <w:snapToGrid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Защита информации</w:t>
      </w:r>
    </w:p>
    <w:p w14:paraId="6DB17839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принимают организационные и технические меры, направленные на:</w:t>
      </w:r>
    </w:p>
    <w:p w14:paraId="4C5E026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действии в отношении такой информации;</w:t>
      </w:r>
    </w:p>
    <w:p w14:paraId="4D8E8E85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конфиденциальности информации, полученной друг от друга в связи с настоящим Договором.</w:t>
      </w:r>
    </w:p>
    <w:p w14:paraId="70FE5623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14:paraId="683B640A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4979C00E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14:paraId="5EC9AC8E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6.5. Стороны обязуются соблюдать конфиденциальность персональных данных, обрабатываемых ими при выполнении настоящего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данных».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</w:p>
    <w:p w14:paraId="79EDAAC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Разрешение споров</w:t>
      </w:r>
    </w:p>
    <w:p w14:paraId="2DBCD940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40E740F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14:paraId="7D9E6F5D" w14:textId="7E5BBF14" w:rsidR="00726E3A" w:rsidRPr="00726E3A" w:rsidRDefault="00726E3A" w:rsidP="002C49A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</w:t>
      </w:r>
      <w:r w:rsidR="008661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34444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Обстоятельства непреодолимой силы</w:t>
      </w:r>
    </w:p>
    <w:p w14:paraId="5DFEAA76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0DDE4ED5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482EC5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0A76544B" w14:textId="20BE6D09" w:rsidR="00726E3A" w:rsidRPr="00726E3A" w:rsidRDefault="00726E3A" w:rsidP="002C49A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14:paraId="788C64C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Антикоррупционная оговорка</w:t>
      </w:r>
    </w:p>
    <w:p w14:paraId="3D026A6D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20B9AC7E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0E1B2FE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9.1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9.1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другой Стороной, ее аффилированными лицами, работниками или посредниками.</w:t>
      </w:r>
    </w:p>
    <w:p w14:paraId="44094107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уведомления Сублицензиата о нарушениях каких-либо положений пункта 9.1. настоящего Договора: ______________________, официальный сайт ________________ (для заполнения специальной формы).</w:t>
      </w:r>
    </w:p>
    <w:p w14:paraId="32108568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уведомления Лицензиата о нарушениях каких-либо положений пункта 9.1. настоящего Договора: ______________________, официальный сайт ________________ (для заполнения специальной формы).</w:t>
      </w:r>
    </w:p>
    <w:p w14:paraId="3EDAB4C8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получившая уведомление о нарушении каких-либо положений </w:t>
      </w:r>
      <w:hyperlink w:anchor="p283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9.1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14:paraId="675639DD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9.1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24E2B6AC" w14:textId="4469B508" w:rsidR="00726E3A" w:rsidRPr="00726E3A" w:rsidRDefault="00726E3A" w:rsidP="002C49A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В случае подтверждения факта нарушения одной Стороной положений </w:t>
      </w:r>
      <w:hyperlink w:anchor="p283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9.1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9.2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14:paraId="28869D5B" w14:textId="77777777" w:rsidR="00726E3A" w:rsidRPr="00726E3A" w:rsidRDefault="00726E3A" w:rsidP="00726E3A">
      <w:pPr>
        <w:keepNext/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договора</w:t>
      </w:r>
    </w:p>
    <w:p w14:paraId="380A4327" w14:textId="2652C7AE" w:rsidR="00726E3A" w:rsidRPr="002C49AC" w:rsidRDefault="00726E3A" w:rsidP="002C49AC">
      <w:pPr>
        <w:keepNext/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даты его подписания Сторонами</w:t>
      </w:r>
      <w:r w:rsidRPr="00726E3A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</w:t>
      </w:r>
      <w:r w:rsid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ноября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включительно</w:t>
      </w:r>
      <w:r w:rsidR="0086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CBEF200" w14:textId="77777777" w:rsidR="00726E3A" w:rsidRPr="00726E3A" w:rsidRDefault="00726E3A" w:rsidP="00726E3A">
      <w:pPr>
        <w:tabs>
          <w:tab w:val="left" w:pos="-6804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Налоговая оговорка</w:t>
      </w:r>
    </w:p>
    <w:p w14:paraId="4456EB1A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11.1.Лицензиат гарантирует, что:</w:t>
      </w:r>
    </w:p>
    <w:p w14:paraId="55861D1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ЕГРЮЛ/ЕГРИП надлежащим образом;</w:t>
      </w:r>
    </w:p>
    <w:p w14:paraId="1516AA43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26E3A">
        <w:rPr>
          <w:rFonts w:ascii="Times New Roman" w:eastAsia="Times New Roman" w:hAnsi="Times New Roman" w:cs="Times New Roman"/>
          <w:i/>
          <w:lang w:eastAsia="ru-RU"/>
        </w:rPr>
        <w:t xml:space="preserve"> данный абзац не добавляется в договор, если Лицензиатом  является индивидуальный предприниматель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8E9AF1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76DAD7C7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14:paraId="4494F16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14:paraId="20FD6C29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14:paraId="352B2AC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5414CB8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3CD05BC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полном объеме уплачивает налоги, сборы и страховые взносы;</w:t>
      </w:r>
    </w:p>
    <w:p w14:paraId="205D861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отражает в налоговой отчетности по НДС все суммы НДС, предъявленные Сублицензиату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абзац исключается в случае освобождения от уплаты НДС при заключении настоящего Договора;</w:t>
      </w:r>
    </w:p>
    <w:p w14:paraId="3EEDB49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4035B9FB" w14:textId="77777777" w:rsidR="00726E3A" w:rsidRPr="00726E3A" w:rsidRDefault="00726E3A" w:rsidP="00726E3A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Лицензиат нарушит гарантии (любую одну, несколько или все вместе), указанные в пункте 11.1. настоящего Договора,  и это повлечет:</w:t>
      </w:r>
    </w:p>
    <w:p w14:paraId="682CA3B4" w14:textId="77777777" w:rsidR="00726E3A" w:rsidRPr="00726E3A" w:rsidRDefault="00726E3A" w:rsidP="00726E3A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1391223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третьими лицами, купившими у Лицензиата услуги, имущественные права, являющиеся предметом настоящего Договора, требований к Сублицензиату о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Лицензиат обязуется возместить Сублицензиату убытки, который последний понес вследствие таких нарушений.</w:t>
      </w:r>
    </w:p>
    <w:p w14:paraId="684C8135" w14:textId="50C31489" w:rsidR="00726E3A" w:rsidRPr="00726E3A" w:rsidRDefault="00726E3A" w:rsidP="002C49AC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Лицензиат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Лицензиата возместить имущественные потери.</w:t>
      </w:r>
    </w:p>
    <w:p w14:paraId="5A05C7A3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Заключительные положения</w:t>
      </w:r>
    </w:p>
    <w:p w14:paraId="2AC89BF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6D1363A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1BE42970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Стороны обязуются своевременно извещать друг друга об изменении своих реквизитов.</w:t>
      </w:r>
    </w:p>
    <w:p w14:paraId="1B1660B7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14:paraId="44891AB5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14:paraId="5AD25D8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14:paraId="535A1034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К настоящему Договору прилагаются:</w:t>
      </w:r>
    </w:p>
    <w:p w14:paraId="412C7BC6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12.7.1. </w:t>
      </w: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 к программному обеспечению (Приложение № 1)</w:t>
      </w:r>
    </w:p>
    <w:p w14:paraId="62952F72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12.7.2. Форма </w:t>
      </w:r>
      <w:hyperlink r:id="rId8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приемки-передачи объекта интеллектуальной собственности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материальном носителе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</w:t>
      </w:r>
    </w:p>
    <w:p w14:paraId="104A246C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12.7.3. График платежей (Приложение № 3)</w:t>
      </w: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640E5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5ED0E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Адреса, реквизиты и подписи сторон</w:t>
      </w:r>
    </w:p>
    <w:p w14:paraId="40E3EB55" w14:textId="77777777" w:rsidR="00726E3A" w:rsidRPr="00726E3A" w:rsidRDefault="00726E3A" w:rsidP="00726E3A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b/>
          <w:spacing w:val="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E3A" w:rsidRPr="00726E3A" w14:paraId="4D8D4983" w14:textId="77777777" w:rsidTr="00104799">
        <w:tc>
          <w:tcPr>
            <w:tcW w:w="4785" w:type="dxa"/>
          </w:tcPr>
          <w:p w14:paraId="02C7ED08" w14:textId="66F799B1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Лицензиат:</w:t>
            </w:r>
            <w:r w:rsidR="0086613E">
              <w:t xml:space="preserve"> </w:t>
            </w:r>
          </w:p>
          <w:p w14:paraId="4ADCF484" w14:textId="43D017E8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 w:rsidR="0086613E">
              <w:t xml:space="preserve"> </w:t>
            </w:r>
          </w:p>
          <w:p w14:paraId="199D5708" w14:textId="2131FBBF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86613E">
              <w:t xml:space="preserve"> </w:t>
            </w:r>
          </w:p>
          <w:p w14:paraId="442087AD" w14:textId="15938769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  <w:r w:rsidR="0086613E">
              <w:t xml:space="preserve"> </w:t>
            </w:r>
          </w:p>
          <w:p w14:paraId="2F01D369" w14:textId="57BE8363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  <w:r w:rsidR="0086613E">
              <w:t xml:space="preserve"> </w:t>
            </w:r>
          </w:p>
          <w:p w14:paraId="74183BA2" w14:textId="42C3484D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  <w:r w:rsidR="0086613E">
              <w:t xml:space="preserve"> </w:t>
            </w:r>
          </w:p>
          <w:p w14:paraId="60B4A38B" w14:textId="58B99BEC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 w:rsidR="0086613E">
              <w:t xml:space="preserve"> </w:t>
            </w:r>
          </w:p>
          <w:p w14:paraId="0CF308B4" w14:textId="639F806D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  <w:r w:rsidR="0086613E">
              <w:t xml:space="preserve"> </w:t>
            </w:r>
          </w:p>
          <w:p w14:paraId="62A1A8DF" w14:textId="790ED1AD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</w:t>
            </w:r>
            <w:r w:rsidR="0086613E">
              <w:t xml:space="preserve"> </w:t>
            </w:r>
          </w:p>
          <w:p w14:paraId="6ED857CA" w14:textId="488ED242" w:rsidR="00726E3A" w:rsidRPr="00726E3A" w:rsidRDefault="00726E3A" w:rsidP="005F5B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="0086613E">
              <w:t xml:space="preserve"> </w:t>
            </w:r>
          </w:p>
          <w:p w14:paraId="0B343A14" w14:textId="77777777" w:rsidR="00726E3A" w:rsidRPr="00726E3A" w:rsidRDefault="00726E3A" w:rsidP="005F5BF4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4C989" w14:textId="5E3CE30F" w:rsidR="00726E3A" w:rsidRPr="00726E3A" w:rsidRDefault="00726E3A" w:rsidP="005F5BF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</w:t>
            </w:r>
            <w:r w:rsidRPr="00726E3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/</w:t>
            </w:r>
            <w:r w:rsidR="002C49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__________/</w:t>
            </w:r>
          </w:p>
          <w:p w14:paraId="65D4766B" w14:textId="77777777" w:rsidR="00726E3A" w:rsidRPr="00726E3A" w:rsidRDefault="00726E3A" w:rsidP="005F5BF4">
            <w:pPr>
              <w:suppressAutoHyphens/>
              <w:spacing w:after="0" w:line="360" w:lineRule="exact"/>
              <w:ind w:firstLine="709"/>
              <w:jc w:val="both"/>
              <w:rPr>
                <w:rFonts w:ascii="Times New Roman" w:eastAsia="MS Mincho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8317FB1" w14:textId="77777777" w:rsidR="002C49AC" w:rsidRDefault="00726E3A" w:rsidP="002C49AC">
            <w:pPr>
              <w:spacing w:after="0" w:line="240" w:lineRule="auto"/>
              <w:jc w:val="both"/>
            </w:pPr>
            <w:r w:rsidRPr="002C4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Сублицензиат:</w:t>
            </w:r>
            <w:r w:rsidR="005F5BF4">
              <w:t xml:space="preserve"> </w:t>
            </w:r>
          </w:p>
          <w:p w14:paraId="484637C4" w14:textId="37AE63A5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ЧУЗ «КБ «РЖД-Медицина» г. Чита»</w:t>
            </w:r>
          </w:p>
          <w:p w14:paraId="48D62668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и фактический адрес:</w:t>
            </w:r>
          </w:p>
          <w:p w14:paraId="5A8C3334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672010, Забайкальский край, г. Чита,  </w:t>
            </w:r>
          </w:p>
          <w:p w14:paraId="4F954069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Ленина, 4. </w:t>
            </w:r>
          </w:p>
          <w:p w14:paraId="2BD4D2EA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8(3022) 21-23-17/ 22-57-16</w:t>
            </w:r>
          </w:p>
          <w:p w14:paraId="1EAC1B86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7534018494, КПП 753401001, </w:t>
            </w:r>
          </w:p>
          <w:p w14:paraId="4BA8A637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р/счет </w:t>
            </w:r>
            <w:r w:rsidRPr="002C49AC">
              <w:rPr>
                <w:rFonts w:ascii="Times New Roman" w:hAnsi="Times New Roman" w:cs="Times New Roman"/>
                <w:sz w:val="24"/>
                <w:szCs w:val="24"/>
              </w:rPr>
              <w:t>40703810805240006226</w:t>
            </w:r>
          </w:p>
          <w:p w14:paraId="1FFD7136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AC">
              <w:rPr>
                <w:rFonts w:ascii="Times New Roman" w:hAnsi="Times New Roman" w:cs="Times New Roman"/>
                <w:sz w:val="24"/>
                <w:szCs w:val="24"/>
              </w:rPr>
              <w:t xml:space="preserve">ФИЛИАЛ «ЦЕНТРАЛЬНЫЙ» БАНКА ВТБ (ПАО) в г. Москве </w:t>
            </w:r>
          </w:p>
          <w:p w14:paraId="58ECE74D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/</w:t>
            </w: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C49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30101810145250000411</w:t>
            </w:r>
          </w:p>
          <w:p w14:paraId="13726824" w14:textId="77777777" w:rsidR="002C49AC" w:rsidRPr="002C49AC" w:rsidRDefault="002C49AC" w:rsidP="002C49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r w:rsidRPr="002C49A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2C49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044525411</w:t>
            </w:r>
          </w:p>
          <w:p w14:paraId="2711E786" w14:textId="77777777" w:rsidR="002C49AC" w:rsidRPr="002C49AC" w:rsidRDefault="002C49AC" w:rsidP="002C49AC">
            <w:pPr>
              <w:pStyle w:val="Style30"/>
              <w:widowControl/>
              <w:tabs>
                <w:tab w:val="left" w:pos="1133"/>
              </w:tabs>
              <w:spacing w:line="240" w:lineRule="auto"/>
              <w:ind w:firstLine="0"/>
              <w:jc w:val="both"/>
              <w:rPr>
                <w:rStyle w:val="FontStyle45"/>
                <w:rFonts w:eastAsia="Calibri"/>
                <w:lang w:val="de-DE"/>
              </w:rPr>
            </w:pPr>
            <w:r w:rsidRPr="002C49AC">
              <w:rPr>
                <w:lang w:val="de-DE"/>
              </w:rPr>
              <w:t>E-mail: dkb-chita@yandex. ru</w:t>
            </w:r>
          </w:p>
          <w:p w14:paraId="564536C2" w14:textId="74EBCD3A" w:rsidR="00726E3A" w:rsidRPr="002C49AC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14:paraId="38529ED9" w14:textId="77777777" w:rsidR="00726E3A" w:rsidRPr="00726E3A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0915F" w14:textId="77777777" w:rsidR="002C49AC" w:rsidRDefault="002C49AC" w:rsidP="002C49AC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14:paraId="05F5A216" w14:textId="77777777" w:rsidR="002C49AC" w:rsidRDefault="002C49AC" w:rsidP="002C49AC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_______________/В.Ю. Макаров/</w:t>
            </w:r>
          </w:p>
          <w:p w14:paraId="54A4B3A9" w14:textId="7E4AD37E" w:rsidR="00726E3A" w:rsidRPr="00726E3A" w:rsidRDefault="00726E3A" w:rsidP="005F5BF4">
            <w:pPr>
              <w:suppressAutoHyphens/>
              <w:spacing w:after="0" w:line="360" w:lineRule="exact"/>
              <w:jc w:val="both"/>
              <w:rPr>
                <w:rFonts w:ascii="Times New Roman" w:eastAsia="MS Mincho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14:paraId="404A0EBE" w14:textId="77777777" w:rsidR="00726E3A" w:rsidRPr="00726E3A" w:rsidRDefault="00726E3A" w:rsidP="00726E3A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b/>
          <w:spacing w:val="6"/>
          <w:sz w:val="24"/>
          <w:szCs w:val="24"/>
          <w:lang w:eastAsia="ru-RU"/>
        </w:rPr>
      </w:pPr>
    </w:p>
    <w:p w14:paraId="742454EE" w14:textId="77777777" w:rsidR="00726E3A" w:rsidRPr="00726E3A" w:rsidRDefault="00726E3A" w:rsidP="00726E3A">
      <w:pPr>
        <w:spacing w:after="0" w:line="240" w:lineRule="auto"/>
        <w:rPr>
          <w:rFonts w:ascii="Times New Roman" w:eastAsia="MS Mincho" w:hAnsi="Times New Roman" w:cs="Times New Roman"/>
          <w:b/>
          <w:spacing w:val="6"/>
          <w:sz w:val="24"/>
          <w:szCs w:val="24"/>
          <w:lang w:eastAsia="ru-RU"/>
        </w:rPr>
      </w:pPr>
      <w:r w:rsidRPr="00726E3A">
        <w:rPr>
          <w:rFonts w:ascii="Times New Roman" w:eastAsia="MS Mincho" w:hAnsi="Times New Roman" w:cs="Times New Roman"/>
          <w:b/>
          <w:spacing w:val="6"/>
          <w:sz w:val="24"/>
          <w:szCs w:val="24"/>
          <w:lang w:eastAsia="ru-RU"/>
        </w:rPr>
        <w:br w:type="page"/>
      </w:r>
    </w:p>
    <w:p w14:paraId="30DB1A5C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08F047A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суб</w:t>
      </w:r>
      <w:hyperlink r:id="rId9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лицензионному договору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права использования</w:t>
      </w:r>
    </w:p>
    <w:p w14:paraId="69AB99FA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773F0DF8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"__" __________ 20___ г.</w:t>
      </w:r>
    </w:p>
    <w:p w14:paraId="4907D07D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62CBE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4CFD" w14:textId="60B63A96" w:rsidR="00726E3A" w:rsidRDefault="00726E3A" w:rsidP="00726E3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 к программному обеспечению</w:t>
      </w:r>
      <w:r w:rsidRPr="00726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14:paraId="77434EE5" w14:textId="77777777" w:rsidR="001B2649" w:rsidRPr="006D79A2" w:rsidRDefault="001B2649" w:rsidP="001B2649">
      <w:pPr>
        <w:tabs>
          <w:tab w:val="left" w:pos="709"/>
        </w:tabs>
        <w:spacing w:after="120" w:line="240" w:lineRule="auto"/>
        <w:ind w:right="8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Настоящее техническое задание (далее - ТЗ) является исходным техническим документом для оказания услуг по созданию системы защиты информационных систем Заказчика (далее - Система). Система должна решать задачи безопасного контролируемого доступа пользователей корпоративной информационной вычислительной сети Заказчика к информационно-телекоммуникационной сети Интернет (далее – сеть Интернет) и реализуется с помощью программно-аппаратного решения, обеспечивающего полноценный контроль трафика, разграничение доступа и предоставляющего встроенные средства сетевой защиты.</w:t>
      </w:r>
    </w:p>
    <w:p w14:paraId="6C36AA04" w14:textId="77777777" w:rsidR="001B2649" w:rsidRPr="006D79A2" w:rsidRDefault="001B2649" w:rsidP="001B2649">
      <w:pPr>
        <w:spacing w:after="120" w:line="240" w:lineRule="auto"/>
        <w:ind w:right="8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 xml:space="preserve">Система должна являться шлюзовым решением, которое позволяет обеспечить безопасность корпоративной информационной вычислительной сети Заказчика от внешних интернет-угроз, обеспечить управление трафиком и шириной канала, контролировать политики доступа в сеть Интернет и использование интернет-приложений, а также обеспечивать безопасность электронной почты. В системе должна быть реализована возможность "глубокого анализа трафика", что позволяет эффективно бороться с интернет-угрозами, в том числе с "угрозами нулевого дня", а также защищает пользователей корпоративной информационной вычислительной сети Заказчика от слежения и негативной рекламы. </w:t>
      </w:r>
    </w:p>
    <w:p w14:paraId="08253AFE" w14:textId="77777777" w:rsidR="001B2649" w:rsidRPr="006D79A2" w:rsidRDefault="001B2649" w:rsidP="001B2649">
      <w:pPr>
        <w:spacing w:after="120" w:line="240" w:lineRule="auto"/>
        <w:ind w:right="8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Принцип работы Системы должен быть основан на создании правил, применяемых к пользователям/группам пользователей. Система должна позволять администраторам контролировать поток трафика и управлять доступом пользователей к информационно-телекоммуникационной сети Интернет (далее – сеть Интернет). Различные правила могут быть использованы для разрешения или запрета доступа к определенным категориям сайтов, контроля закачек, использования приложений, установки ограничений по трафику и ширине канала. Система также должна производить мониторинг и выводить статистику использования сети Интернета.</w:t>
      </w:r>
    </w:p>
    <w:p w14:paraId="1754C62B" w14:textId="77777777" w:rsidR="001B2649" w:rsidRPr="006D79A2" w:rsidRDefault="001B2649" w:rsidP="001B2649">
      <w:pPr>
        <w:spacing w:after="120" w:line="240" w:lineRule="auto"/>
        <w:ind w:right="8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Система должна состоять из модульных частей: сервер, консоль администрирования, модуль для обеспечения проактивной защиты корпоративной информационной вычислительной сети Заказчика от современных угроз, опасных и нежелательных Интернет-ресурсов. Система должна предполагать добавление иных модулей.</w:t>
      </w:r>
    </w:p>
    <w:p w14:paraId="2A431353" w14:textId="77777777" w:rsidR="001B2649" w:rsidRPr="006D79A2" w:rsidRDefault="001B2649" w:rsidP="001B2649">
      <w:pPr>
        <w:pStyle w:val="3"/>
        <w:rPr>
          <w:rFonts w:ascii="Times New Roman" w:hAnsi="Times New Roman" w:cs="Times New Roman"/>
        </w:rPr>
      </w:pPr>
      <w:r w:rsidRPr="006D79A2">
        <w:rPr>
          <w:rFonts w:ascii="Times New Roman" w:hAnsi="Times New Roman" w:cs="Times New Roman"/>
        </w:rPr>
        <w:t>Перечень документов, на основании которых выполняются работы</w:t>
      </w:r>
    </w:p>
    <w:p w14:paraId="6A49175D" w14:textId="77777777" w:rsidR="001B2649" w:rsidRPr="006D79A2" w:rsidRDefault="001B2649" w:rsidP="001B2649">
      <w:pPr>
        <w:pStyle w:val="a6"/>
        <w:numPr>
          <w:ilvl w:val="0"/>
          <w:numId w:val="5"/>
        </w:numPr>
        <w:tabs>
          <w:tab w:val="left" w:pos="709"/>
        </w:tabs>
        <w:spacing w:after="120" w:line="240" w:lineRule="auto"/>
        <w:ind w:right="85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eastAsia="Times New Roman"/>
          <w:color w:val="000000" w:themeColor="text1"/>
          <w:sz w:val="21"/>
          <w:szCs w:val="24"/>
          <w:lang w:eastAsia="ru-RU"/>
        </w:rPr>
        <w:t>Указ Президента РФ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14:paraId="11123E2E" w14:textId="77777777" w:rsidR="001B2649" w:rsidRPr="006D79A2" w:rsidRDefault="001B2649" w:rsidP="001B2649">
      <w:pPr>
        <w:pStyle w:val="a6"/>
        <w:numPr>
          <w:ilvl w:val="0"/>
          <w:numId w:val="5"/>
        </w:numPr>
        <w:tabs>
          <w:tab w:val="left" w:pos="709"/>
        </w:tabs>
        <w:spacing w:after="120" w:line="240" w:lineRule="auto"/>
        <w:ind w:right="85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eastAsia="Times New Roman"/>
          <w:color w:val="000000" w:themeColor="text1"/>
          <w:sz w:val="21"/>
          <w:szCs w:val="24"/>
          <w:lang w:eastAsia="ru-RU"/>
        </w:rPr>
        <w:t>Приказ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(Зарегистрировано в Минюсте России 14.05.2013 N 28375).</w:t>
      </w:r>
    </w:p>
    <w:p w14:paraId="03E813B3" w14:textId="77777777" w:rsidR="001B2649" w:rsidRPr="006D79A2" w:rsidRDefault="001B2649" w:rsidP="001B2649">
      <w:pPr>
        <w:pStyle w:val="a6"/>
        <w:numPr>
          <w:ilvl w:val="0"/>
          <w:numId w:val="5"/>
        </w:numPr>
        <w:tabs>
          <w:tab w:val="left" w:pos="709"/>
        </w:tabs>
        <w:spacing w:after="120" w:line="240" w:lineRule="auto"/>
        <w:ind w:right="85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eastAsia="Times New Roman"/>
          <w:color w:val="000000" w:themeColor="text1"/>
          <w:sz w:val="21"/>
          <w:szCs w:val="24"/>
          <w:lang w:eastAsia="ru-RU"/>
        </w:rPr>
        <w:t>Приказ ФСТЭК России от 11.02.2013 № 17 "Об утверждении Требований о защите информации, не составляющей государственную тайну, содержащейся в государственных информационных системах" (Зарегистрировано в Минюсте России 31.05.2013 N 28608).</w:t>
      </w:r>
    </w:p>
    <w:p w14:paraId="79487B36" w14:textId="77777777" w:rsidR="001B2649" w:rsidRPr="006D79A2" w:rsidRDefault="001B2649" w:rsidP="001B2649">
      <w:pPr>
        <w:pStyle w:val="a6"/>
        <w:numPr>
          <w:ilvl w:val="0"/>
          <w:numId w:val="5"/>
        </w:numPr>
        <w:tabs>
          <w:tab w:val="left" w:pos="709"/>
        </w:tabs>
        <w:spacing w:after="120" w:line="240" w:lineRule="auto"/>
        <w:ind w:right="85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eastAsia="Times New Roman"/>
          <w:color w:val="000000" w:themeColor="text1"/>
          <w:sz w:val="21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CABC7DE" w14:textId="77777777" w:rsidR="001B2649" w:rsidRPr="006D79A2" w:rsidRDefault="001B2649" w:rsidP="001B2649">
      <w:pPr>
        <w:pStyle w:val="a6"/>
        <w:numPr>
          <w:ilvl w:val="0"/>
          <w:numId w:val="5"/>
        </w:numPr>
        <w:tabs>
          <w:tab w:val="left" w:pos="709"/>
        </w:tabs>
        <w:spacing w:after="120" w:line="240" w:lineRule="auto"/>
        <w:ind w:right="85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6D79A2">
        <w:rPr>
          <w:rFonts w:eastAsia="Times New Roman"/>
          <w:color w:val="000000" w:themeColor="text1"/>
          <w:sz w:val="21"/>
          <w:szCs w:val="24"/>
          <w:lang w:eastAsia="ru-RU"/>
        </w:rPr>
        <w:t>Федеральный закон от 27.07.2006 № 152-ФЗ «О персональных данных».</w:t>
      </w:r>
    </w:p>
    <w:p w14:paraId="49F280C8" w14:textId="77777777" w:rsidR="001B2649" w:rsidRDefault="001B2649" w:rsidP="00726E3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50"/>
        <w:gridCol w:w="2002"/>
        <w:gridCol w:w="3417"/>
        <w:gridCol w:w="2111"/>
        <w:gridCol w:w="1673"/>
      </w:tblGrid>
      <w:tr w:rsidR="00952F08" w:rsidRPr="00653DC0" w14:paraId="256BA97D" w14:textId="77777777" w:rsidTr="00AC6B6F">
        <w:trPr>
          <w:trHeight w:val="470"/>
        </w:trPr>
        <w:tc>
          <w:tcPr>
            <w:tcW w:w="5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6EFD1C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53DC0">
              <w:rPr>
                <w:b/>
                <w:szCs w:val="24"/>
              </w:rPr>
              <w:t>№ п/п</w:t>
            </w:r>
          </w:p>
        </w:tc>
        <w:tc>
          <w:tcPr>
            <w:tcW w:w="20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F0D6D0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53DC0">
              <w:rPr>
                <w:b/>
                <w:szCs w:val="24"/>
              </w:rPr>
              <w:t>Наименование товара</w:t>
            </w:r>
          </w:p>
        </w:tc>
        <w:tc>
          <w:tcPr>
            <w:tcW w:w="3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6DD9E1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53DC0">
              <w:rPr>
                <w:b/>
                <w:szCs w:val="24"/>
              </w:rPr>
              <w:t>Характеристика товара</w:t>
            </w:r>
          </w:p>
        </w:tc>
        <w:tc>
          <w:tcPr>
            <w:tcW w:w="2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4C714B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53DC0">
              <w:rPr>
                <w:b/>
                <w:szCs w:val="24"/>
              </w:rPr>
              <w:t xml:space="preserve">Значение характеристики </w:t>
            </w:r>
          </w:p>
        </w:tc>
        <w:tc>
          <w:tcPr>
            <w:tcW w:w="16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A31AF3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53DC0">
              <w:rPr>
                <w:b/>
                <w:szCs w:val="24"/>
              </w:rPr>
              <w:t>Кол-во</w:t>
            </w:r>
          </w:p>
          <w:p w14:paraId="514D8171" w14:textId="77777777" w:rsidR="00952F08" w:rsidRPr="00653DC0" w:rsidRDefault="00952F08" w:rsidP="00AC6B6F">
            <w:pPr>
              <w:spacing w:after="0" w:line="240" w:lineRule="auto"/>
              <w:jc w:val="center"/>
              <w:rPr>
                <w:szCs w:val="24"/>
              </w:rPr>
            </w:pPr>
            <w:r w:rsidRPr="00653DC0">
              <w:rPr>
                <w:b/>
                <w:szCs w:val="24"/>
              </w:rPr>
              <w:t>(шт.)</w:t>
            </w:r>
          </w:p>
        </w:tc>
      </w:tr>
      <w:tr w:rsidR="00952F08" w:rsidRPr="00653DC0" w14:paraId="47FC8497" w14:textId="77777777" w:rsidTr="00AC6B6F">
        <w:trPr>
          <w:trHeight w:val="149"/>
        </w:trPr>
        <w:tc>
          <w:tcPr>
            <w:tcW w:w="55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51E74B" w14:textId="77777777" w:rsidR="00952F08" w:rsidRPr="00653DC0" w:rsidRDefault="00952F08" w:rsidP="00AC6B6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53DC0">
              <w:rPr>
                <w:b/>
                <w:bCs/>
                <w:szCs w:val="24"/>
              </w:rPr>
              <w:t>1.</w:t>
            </w:r>
          </w:p>
        </w:tc>
        <w:tc>
          <w:tcPr>
            <w:tcW w:w="200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22FBA5" w14:textId="77777777" w:rsidR="00952F08" w:rsidRPr="00653DC0" w:rsidRDefault="00952F08" w:rsidP="00AC6B6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  <w:r w:rsidRPr="00653DC0">
              <w:rPr>
                <w:b/>
                <w:bCs/>
                <w:szCs w:val="24"/>
              </w:rPr>
              <w:t>ппаратный комплекс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lastRenderedPageBreak/>
              <w:t>межсетевого экранирования</w:t>
            </w:r>
          </w:p>
        </w:tc>
        <w:tc>
          <w:tcPr>
            <w:tcW w:w="5528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1CA2C9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67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99DDB8D" w14:textId="77777777" w:rsidR="00952F08" w:rsidRPr="00920BD6" w:rsidRDefault="00952F08" w:rsidP="00AC6B6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952F08" w:rsidRPr="00653DC0" w14:paraId="60CA2155" w14:textId="77777777" w:rsidTr="00AC6B6F">
        <w:trPr>
          <w:trHeight w:val="642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7782ED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E6916B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4658F1D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На передней панели корпуса:</w:t>
            </w:r>
          </w:p>
          <w:p w14:paraId="67300BD2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  <w:lang w:val="en-US"/>
              </w:rPr>
              <w:t>USB</w:t>
            </w:r>
            <w:r w:rsidRPr="00653DC0">
              <w:rPr>
                <w:szCs w:val="24"/>
              </w:rPr>
              <w:t xml:space="preserve"> 2.0 </w:t>
            </w:r>
            <w:r w:rsidRPr="00653DC0">
              <w:rPr>
                <w:szCs w:val="24"/>
                <w:lang w:val="en-US"/>
              </w:rPr>
              <w:t>Ports</w:t>
            </w:r>
            <w:r w:rsidRPr="00653DC0">
              <w:rPr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94271A6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2 шт (значение не меняется).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50EB888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662A366F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6D913F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69EFC9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620B9F3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Типоразмер корпуса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08A8781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1</w:t>
            </w:r>
            <w:r w:rsidRPr="00653DC0">
              <w:rPr>
                <w:szCs w:val="24"/>
                <w:lang w:val="en-US"/>
              </w:rPr>
              <w:t xml:space="preserve"> U</w:t>
            </w:r>
            <w:r w:rsidRPr="00653DC0">
              <w:rPr>
                <w:szCs w:val="24"/>
              </w:rPr>
              <w:t xml:space="preserve">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D7D2CB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61B8E9AD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C77301D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37DC90B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B964BE5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 xml:space="preserve">Вентиляторы на задней стенке корпуса 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FEA39B4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53DC0">
              <w:rPr>
                <w:szCs w:val="24"/>
              </w:rPr>
              <w:t xml:space="preserve"> шт.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7B479FD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3CA737DB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DE97AFA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11F763A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076BC2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Количество слотов памяти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BDBF68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53DC0">
              <w:rPr>
                <w:szCs w:val="24"/>
              </w:rPr>
              <w:t xml:space="preserve"> шт.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C64A8A8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56CF66BA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616AC17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D4DEE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777F0CD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Сетевой контроллер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5DBABF" w14:textId="77777777" w:rsidR="00952F08" w:rsidRPr="00653DC0" w:rsidRDefault="00952F08" w:rsidP="00AC6B6F">
            <w:pPr>
              <w:spacing w:after="0" w:line="240" w:lineRule="auto"/>
              <w:rPr>
                <w:szCs w:val="24"/>
                <w:lang w:val="en-US"/>
              </w:rPr>
            </w:pPr>
            <w:r w:rsidRPr="00653DC0">
              <w:rPr>
                <w:szCs w:val="24"/>
                <w:lang w:val="en-US"/>
              </w:rPr>
              <w:t xml:space="preserve">10/100/1000 </w:t>
            </w:r>
            <w:r w:rsidRPr="00653DC0">
              <w:rPr>
                <w:szCs w:val="24"/>
              </w:rPr>
              <w:t>Мегабит (значение не меняется)</w:t>
            </w:r>
          </w:p>
        </w:tc>
        <w:tc>
          <w:tcPr>
            <w:tcW w:w="16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D1F5CD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952F08" w:rsidRPr="00653DC0" w14:paraId="173FB876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A4E2A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99929BD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E333AB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Объем памяти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41F233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0C559E">
              <w:rPr>
                <w:szCs w:val="24"/>
              </w:rPr>
              <w:t xml:space="preserve"> Гб (значение не меняется)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2F56884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  <w:p w14:paraId="0BB76F91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24497F93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29455D8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FAE042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E321D8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Тактовая частота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9630BD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 w:rsidRPr="000C559E">
              <w:rPr>
                <w:szCs w:val="24"/>
                <w:lang w:val="en-US"/>
              </w:rPr>
              <w:t>1600</w:t>
            </w:r>
            <w:r w:rsidRPr="000C559E">
              <w:rPr>
                <w:szCs w:val="24"/>
              </w:rPr>
              <w:t xml:space="preserve"> МГц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9D8914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15D13171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2AFE1C7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0754BB0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EE561D9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b/>
                <w:szCs w:val="24"/>
              </w:rPr>
              <w:t>Процессор: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0E7A38A" w14:textId="77777777" w:rsidR="00952F08" w:rsidRPr="000C559E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79B99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2DAC4885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628B41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084EFD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6F2D46B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Количество ядер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CBCC43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0C559E">
              <w:rPr>
                <w:szCs w:val="24"/>
              </w:rPr>
              <w:t xml:space="preserve">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167FEF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4C5D95D9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66D3CC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4D80128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B114A1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Базовая частота процессора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7127B3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00</w:t>
            </w:r>
            <w:r w:rsidRPr="000C559E">
              <w:rPr>
                <w:szCs w:val="24"/>
              </w:rPr>
              <w:t xml:space="preserve"> МГц 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0CD53F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4876CBC6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4A7601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9DEBD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6D6B08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Количество вычислительных потоков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DAFAFCD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менее 8</w:t>
            </w:r>
            <w:r w:rsidRPr="000C559E">
              <w:rPr>
                <w:szCs w:val="24"/>
              </w:rPr>
              <w:t xml:space="preserve"> шт. 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7F8378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4C16E8EA" w14:textId="77777777" w:rsidTr="00AC6B6F">
        <w:trPr>
          <w:trHeight w:val="51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074385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5A1E0B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E3652B3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Максимальная тактовая частота с технологией Turbo Boost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0F79CA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менее 4000</w:t>
            </w:r>
            <w:r w:rsidRPr="000C559E">
              <w:rPr>
                <w:szCs w:val="24"/>
              </w:rPr>
              <w:t xml:space="preserve"> 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DC00F4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5464D828" w14:textId="77777777" w:rsidTr="00AC6B6F">
        <w:trPr>
          <w:trHeight w:val="25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F235D9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087B54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7039E1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Типичное тепловыделение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46949F2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более 80</w:t>
            </w:r>
            <w:r w:rsidRPr="000C559E">
              <w:rPr>
                <w:szCs w:val="24"/>
              </w:rPr>
              <w:t xml:space="preserve">Вт 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46C79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25956C68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BC5559E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72552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938BECF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b/>
                <w:bCs/>
                <w:szCs w:val="24"/>
              </w:rPr>
              <w:t>Блок питания: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0FCF3A6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C559E">
              <w:rPr>
                <w:szCs w:val="24"/>
              </w:rPr>
              <w:t xml:space="preserve"> шт.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31C091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1A2CEAB3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06C9C5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1B65ED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604E2C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Мощность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5A3A415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220W</w:t>
            </w:r>
            <w:r w:rsidRPr="000C559E">
              <w:rPr>
                <w:szCs w:val="24"/>
              </w:rPr>
              <w:t xml:space="preserve">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DA990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7AE84A8E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8348A00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9F0BF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A9A3CF9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НЖМД</w:t>
            </w:r>
            <w:r w:rsidRPr="00653DC0">
              <w:rPr>
                <w:b/>
                <w:bCs/>
                <w:szCs w:val="24"/>
              </w:rPr>
              <w:t xml:space="preserve"> </w:t>
            </w:r>
            <w:r w:rsidRPr="00653DC0">
              <w:rPr>
                <w:b/>
                <w:szCs w:val="24"/>
              </w:rPr>
              <w:t>: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21F22D" w14:textId="77777777" w:rsidR="00952F08" w:rsidRPr="000C559E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3547A6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69620C8B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C812FEF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18B18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5F4962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Форм-фактор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8EF710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 w:rsidRPr="000C559E">
              <w:rPr>
                <w:szCs w:val="24"/>
              </w:rPr>
              <w:t>2.5 дюйма (значение не меняется)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EA8FF1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  <w:p w14:paraId="244E42B6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5ADDE5EE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8814D3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C93C4D0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BF2113E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Объем</w:t>
            </w:r>
            <w:r w:rsidRPr="00653DC0">
              <w:rPr>
                <w:szCs w:val="24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8C3B69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Pr="000C559E">
              <w:rPr>
                <w:szCs w:val="24"/>
              </w:rPr>
              <w:t>000 Гб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ECFF45A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04F2653A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DCAAF0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A8A78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82F0083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Интерфейс SATA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E339D12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 w:rsidRPr="000C559E">
              <w:rPr>
                <w:szCs w:val="24"/>
              </w:rPr>
              <w:t>6</w:t>
            </w:r>
            <w:r w:rsidRPr="000C559E">
              <w:rPr>
                <w:szCs w:val="24"/>
                <w:lang w:val="en-US"/>
              </w:rPr>
              <w:t>Gb</w:t>
            </w:r>
            <w:r w:rsidRPr="000C559E">
              <w:rPr>
                <w:szCs w:val="24"/>
              </w:rPr>
              <w:t>/</w:t>
            </w:r>
            <w:r w:rsidRPr="000C559E">
              <w:rPr>
                <w:szCs w:val="24"/>
                <w:lang w:val="en-US"/>
              </w:rPr>
              <w:t>s</w:t>
            </w:r>
            <w:r w:rsidRPr="000C559E">
              <w:rPr>
                <w:szCs w:val="24"/>
              </w:rPr>
              <w:t xml:space="preserve">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1DA291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1DD21710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221FA9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2257C12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315AB0A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>Скорость вращения шпинделя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4F52B5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5200</w:t>
            </w:r>
            <w:r w:rsidRPr="000C559E">
              <w:rPr>
                <w:szCs w:val="24"/>
              </w:rPr>
              <w:t xml:space="preserve"> об/мин.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B24CCD1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65CF65FD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FCB8FF0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5DBCD5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A221EA2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 xml:space="preserve">Буфер </w:t>
            </w:r>
            <w:r>
              <w:rPr>
                <w:szCs w:val="24"/>
              </w:rPr>
              <w:t>НЖМД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9FDEBDD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128</w:t>
            </w:r>
            <w:r w:rsidRPr="000C559E">
              <w:rPr>
                <w:szCs w:val="24"/>
              </w:rPr>
              <w:t xml:space="preserve"> Мб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D4E744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2D11F61F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0887C77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F1BCE19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8BE925D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 w:rsidRPr="000C559E">
              <w:rPr>
                <w:szCs w:val="24"/>
              </w:rPr>
              <w:t xml:space="preserve">Время </w:t>
            </w:r>
            <w:r w:rsidRPr="000C559E">
              <w:rPr>
                <w:color w:val="252525"/>
                <w:szCs w:val="24"/>
                <w:shd w:val="clear" w:color="auto" w:fill="FFFFFF"/>
              </w:rPr>
              <w:t xml:space="preserve">продолжительности беспрерывной работы 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01C83C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 w:rsidRPr="000C559E">
              <w:rPr>
                <w:szCs w:val="24"/>
              </w:rPr>
              <w:t>1.4 млн. часов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96B8674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  <w:tr w:rsidR="00952F08" w:rsidRPr="00653DC0" w14:paraId="5F9DADAF" w14:textId="77777777" w:rsidTr="00AC6B6F">
        <w:trPr>
          <w:trHeight w:val="149"/>
        </w:trPr>
        <w:tc>
          <w:tcPr>
            <w:tcW w:w="55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1BBEFB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7A741B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C5103D" w14:textId="77777777" w:rsidR="00952F08" w:rsidRPr="00653DC0" w:rsidRDefault="00952F08" w:rsidP="00AC6B6F">
            <w:pPr>
              <w:spacing w:after="0" w:line="240" w:lineRule="auto"/>
              <w:rPr>
                <w:szCs w:val="24"/>
              </w:rPr>
            </w:pPr>
            <w:r w:rsidRPr="00653DC0">
              <w:rPr>
                <w:szCs w:val="24"/>
              </w:rPr>
              <w:t xml:space="preserve">Количество </w:t>
            </w:r>
            <w:r>
              <w:rPr>
                <w:szCs w:val="24"/>
              </w:rPr>
              <w:t>НЖМД</w:t>
            </w:r>
          </w:p>
        </w:tc>
        <w:tc>
          <w:tcPr>
            <w:tcW w:w="21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B0CEB99" w14:textId="77777777" w:rsidR="00952F08" w:rsidRPr="000C559E" w:rsidRDefault="00952F08" w:rsidP="00AC6B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C559E">
              <w:rPr>
                <w:szCs w:val="24"/>
              </w:rPr>
              <w:t xml:space="preserve"> шт. (значение не меняется)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B71496" w14:textId="77777777" w:rsidR="00952F08" w:rsidRPr="00653DC0" w:rsidRDefault="00952F08" w:rsidP="00AC6B6F">
            <w:pPr>
              <w:snapToGrid w:val="0"/>
              <w:spacing w:after="0" w:line="240" w:lineRule="auto"/>
              <w:rPr>
                <w:szCs w:val="24"/>
              </w:rPr>
            </w:pPr>
          </w:p>
        </w:tc>
      </w:tr>
    </w:tbl>
    <w:p w14:paraId="0ACC4290" w14:textId="77777777" w:rsidR="004368EF" w:rsidRPr="00342668" w:rsidRDefault="004368EF" w:rsidP="004368EF">
      <w:pPr>
        <w:spacing w:after="120" w:line="240" w:lineRule="auto"/>
        <w:jc w:val="both"/>
        <w:rPr>
          <w:rFonts w:eastAsia="Times New Roman"/>
          <w:color w:val="000000" w:themeColor="text1"/>
          <w:sz w:val="21"/>
          <w:szCs w:val="24"/>
          <w:lang w:eastAsia="ru-RU"/>
        </w:rPr>
      </w:pPr>
      <w:r w:rsidRPr="00342668">
        <w:rPr>
          <w:rFonts w:eastAsia="Times New Roman"/>
          <w:color w:val="000000" w:themeColor="text1"/>
          <w:sz w:val="21"/>
          <w:szCs w:val="24"/>
          <w:lang w:eastAsia="ru-RU"/>
        </w:rPr>
        <w:t>Система должна поставляться в виде про</w:t>
      </w:r>
      <w:r>
        <w:rPr>
          <w:rFonts w:eastAsia="Times New Roman"/>
          <w:color w:val="000000" w:themeColor="text1"/>
          <w:sz w:val="21"/>
          <w:szCs w:val="24"/>
          <w:lang w:eastAsia="ru-RU"/>
        </w:rPr>
        <w:t xml:space="preserve">граммно-аппаратного комплекса и </w:t>
      </w:r>
      <w:r w:rsidRPr="00342668">
        <w:rPr>
          <w:rFonts w:eastAsia="Times New Roman"/>
          <w:color w:val="000000" w:themeColor="text1"/>
          <w:sz w:val="21"/>
          <w:szCs w:val="24"/>
          <w:lang w:eastAsia="ru-RU"/>
        </w:rPr>
        <w:t xml:space="preserve">обеспечивать контроль </w:t>
      </w:r>
      <w:r>
        <w:rPr>
          <w:rFonts w:eastAsia="Times New Roman"/>
          <w:color w:val="000000" w:themeColor="text1"/>
          <w:sz w:val="21"/>
          <w:szCs w:val="24"/>
          <w:lang w:eastAsia="ru-RU"/>
        </w:rPr>
        <w:t xml:space="preserve">без ограничения </w:t>
      </w:r>
      <w:r w:rsidRPr="00342668">
        <w:rPr>
          <w:rFonts w:eastAsia="Times New Roman"/>
          <w:color w:val="000000" w:themeColor="text1"/>
          <w:sz w:val="21"/>
          <w:szCs w:val="24"/>
          <w:lang w:eastAsia="ru-RU"/>
        </w:rPr>
        <w:t xml:space="preserve">единовременно подключенных пользователей на пропускной способности канала не менее </w:t>
      </w:r>
      <w:r w:rsidRPr="0026246A">
        <w:rPr>
          <w:rFonts w:eastAsia="Times New Roman"/>
          <w:color w:val="000000" w:themeColor="text1"/>
          <w:sz w:val="21"/>
          <w:szCs w:val="24"/>
          <w:lang w:eastAsia="ru-RU"/>
        </w:rPr>
        <w:t>200</w:t>
      </w:r>
      <w:r w:rsidRPr="00342668">
        <w:rPr>
          <w:rFonts w:eastAsia="Times New Roman"/>
          <w:color w:val="000000" w:themeColor="text1"/>
          <w:sz w:val="21"/>
          <w:szCs w:val="24"/>
          <w:lang w:eastAsia="ru-RU"/>
        </w:rPr>
        <w:t xml:space="preserve"> Мб/</w:t>
      </w:r>
      <w:r w:rsidRPr="00342668">
        <w:rPr>
          <w:rFonts w:eastAsia="Times New Roman"/>
          <w:color w:val="000000" w:themeColor="text1"/>
          <w:sz w:val="21"/>
          <w:szCs w:val="24"/>
          <w:lang w:val="en-US" w:eastAsia="ru-RU"/>
        </w:rPr>
        <w:t>c</w:t>
      </w:r>
      <w:r w:rsidRPr="00342668">
        <w:rPr>
          <w:rFonts w:eastAsia="Times New Roman"/>
          <w:color w:val="000000" w:themeColor="text1"/>
          <w:sz w:val="21"/>
          <w:szCs w:val="24"/>
          <w:lang w:eastAsia="ru-RU"/>
        </w:rPr>
        <w:t>.</w:t>
      </w:r>
    </w:p>
    <w:p w14:paraId="59224DB3" w14:textId="5AA921C0" w:rsidR="004368EF" w:rsidRPr="00342668" w:rsidRDefault="004368EF" w:rsidP="004368EF">
      <w:pPr>
        <w:pStyle w:val="5"/>
        <w:spacing w:after="120"/>
        <w:rPr>
          <w:rFonts w:eastAsia="Times New Roman"/>
          <w:sz w:val="21"/>
        </w:rPr>
      </w:pPr>
      <w:r w:rsidRPr="00342668">
        <w:rPr>
          <w:rFonts w:eastAsia="Times New Roman"/>
          <w:sz w:val="21"/>
        </w:rPr>
        <w:t>Требования:</w:t>
      </w:r>
    </w:p>
    <w:p w14:paraId="140BBF7F" w14:textId="77777777" w:rsidR="004368EF" w:rsidRPr="00342668" w:rsidRDefault="004368EF" w:rsidP="004368EF">
      <w:pPr>
        <w:pStyle w:val="ListParagraph1"/>
        <w:widowControl w:val="0"/>
        <w:numPr>
          <w:ilvl w:val="0"/>
          <w:numId w:val="4"/>
        </w:numPr>
        <w:spacing w:after="120"/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</w:pP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Год выпуска поставляе</w:t>
      </w:r>
      <w:r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мого оборудования – не ранее 2023</w:t>
      </w: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 xml:space="preserve"> года.</w:t>
      </w:r>
    </w:p>
    <w:p w14:paraId="21BE1B18" w14:textId="77777777" w:rsidR="004368EF" w:rsidRPr="00342668" w:rsidRDefault="004368EF" w:rsidP="004368EF">
      <w:pPr>
        <w:pStyle w:val="ListParagraph1"/>
        <w:widowControl w:val="0"/>
        <w:numPr>
          <w:ilvl w:val="0"/>
          <w:numId w:val="4"/>
        </w:numPr>
        <w:spacing w:after="120"/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</w:pP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Поставляемое оборудование должно быть собрано в промышленных условиях, удовлетворяющих стандарту ISO9001, иметь сертификаты соответствия требованиям системы сертификации ЕАС.</w:t>
      </w:r>
    </w:p>
    <w:p w14:paraId="152224CA" w14:textId="77777777" w:rsidR="004368EF" w:rsidRPr="00342668" w:rsidRDefault="004368EF" w:rsidP="004368EF">
      <w:pPr>
        <w:pStyle w:val="ListParagraph1"/>
        <w:numPr>
          <w:ilvl w:val="0"/>
          <w:numId w:val="4"/>
        </w:numPr>
        <w:tabs>
          <w:tab w:val="left" w:pos="851"/>
        </w:tabs>
        <w:spacing w:after="120"/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</w:pP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Исполнитель должен обеспечить срок гара</w:t>
      </w:r>
      <w:r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нтийного обслуживания не менее 1 (одного) года</w:t>
      </w: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.</w:t>
      </w:r>
    </w:p>
    <w:p w14:paraId="59EA0E48" w14:textId="77777777" w:rsidR="004368EF" w:rsidRPr="00342668" w:rsidRDefault="004368EF" w:rsidP="004368EF">
      <w:pPr>
        <w:pStyle w:val="ListParagraph1"/>
        <w:numPr>
          <w:ilvl w:val="0"/>
          <w:numId w:val="4"/>
        </w:numPr>
        <w:spacing w:after="120"/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</w:pP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lastRenderedPageBreak/>
        <w:t>Поставка должна производиться в запечатанной упаковке, обеспечивающей сохранность содержимого и невозможность использования третьими лицами без ее повреждения.</w:t>
      </w:r>
    </w:p>
    <w:p w14:paraId="0332C324" w14:textId="77777777" w:rsidR="004368EF" w:rsidRDefault="004368EF" w:rsidP="004368EF">
      <w:pPr>
        <w:pStyle w:val="ListParagraph1"/>
        <w:numPr>
          <w:ilvl w:val="0"/>
          <w:numId w:val="4"/>
        </w:numPr>
        <w:spacing w:after="120"/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</w:pPr>
      <w:r w:rsidRPr="00342668">
        <w:rPr>
          <w:rFonts w:eastAsia="Times New Roman"/>
          <w:color w:val="000000" w:themeColor="text1"/>
          <w:kern w:val="0"/>
          <w:sz w:val="21"/>
          <w:szCs w:val="24"/>
          <w:lang w:eastAsia="ru-RU" w:bidi="ar-SA"/>
        </w:rPr>
        <w:t>В Системе должны быть установлены и настроены все обновления доступные на момент приобретения оборудования, все драйвера чипсета и устройств, входящих в комплектацию оборудования, а также необходимые утилиты, обеспечивающие полноценное функционирование Системы.</w:t>
      </w:r>
    </w:p>
    <w:p w14:paraId="36D89F96" w14:textId="77777777" w:rsidR="00952F08" w:rsidRPr="00726E3A" w:rsidRDefault="00952F08" w:rsidP="00726E3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96931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26E3A" w:rsidRPr="00726E3A" w14:paraId="1DAFFDCB" w14:textId="77777777" w:rsidTr="001047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054A34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FC78B9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"__" ________ 20__ г.</w:t>
            </w:r>
          </w:p>
        </w:tc>
      </w:tr>
    </w:tbl>
    <w:p w14:paraId="03A80B2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5F55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6385D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D24A0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2C3A0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79F20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06BD5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5C91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00A75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E36EB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DBE7E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1E1E9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45DF8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C106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AB310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422E9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C2407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F0327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8A42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DE307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B5764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726E3A" w:rsidRPr="00726E3A" w14:paraId="4F078E4B" w14:textId="77777777" w:rsidTr="00104799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549F" w14:textId="77777777" w:rsidR="00726E3A" w:rsidRPr="00726E3A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191" w14:textId="77777777" w:rsidR="00726E3A" w:rsidRPr="00726E3A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Сублицензиата:</w:t>
            </w:r>
          </w:p>
        </w:tc>
      </w:tr>
    </w:tbl>
    <w:p w14:paraId="6FEAAC2F" w14:textId="77777777" w:rsidR="00726E3A" w:rsidRPr="00726E3A" w:rsidRDefault="00726E3A" w:rsidP="00726E3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C7838" w14:textId="77777777" w:rsidR="00726E3A" w:rsidRPr="00726E3A" w:rsidRDefault="00726E3A" w:rsidP="00726E3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Pr="00726E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/__________/</w:t>
      </w:r>
      <w:r w:rsidRPr="00726E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Pr="00726E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/__________/</w:t>
      </w:r>
    </w:p>
    <w:p w14:paraId="5CFCBA9C" w14:textId="77777777" w:rsidR="00726E3A" w:rsidRPr="00726E3A" w:rsidRDefault="00726E3A" w:rsidP="00726E3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668FCA56" w14:textId="77777777" w:rsidR="00726E3A" w:rsidRPr="00726E3A" w:rsidRDefault="00726E3A" w:rsidP="0072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5523303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D7BD7E7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суб</w:t>
      </w:r>
      <w:hyperlink r:id="rId10" w:history="1">
        <w:r w:rsidRPr="00726E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лицензионному договору</w:t>
        </w:r>
      </w:hyperlink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права использования</w:t>
      </w:r>
    </w:p>
    <w:p w14:paraId="03167C48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</w:p>
    <w:p w14:paraId="10AA94F3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"__" __________ 20___ г.</w:t>
      </w:r>
    </w:p>
    <w:p w14:paraId="7B20E9F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BDC390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30442C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приемки-передачи</w:t>
      </w:r>
    </w:p>
    <w:p w14:paraId="3581BEFB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интеллектуальной собственности</w:t>
      </w:r>
    </w:p>
    <w:p w14:paraId="4D8866FE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материальном носителе</w:t>
      </w:r>
    </w:p>
    <w:p w14:paraId="04E406E1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26E3A" w:rsidRPr="00726E3A" w14:paraId="6E18741C" w14:textId="77777777" w:rsidTr="001047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AE888BB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D2411C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 ________ 20__ г.</w:t>
            </w:r>
          </w:p>
        </w:tc>
      </w:tr>
      <w:tr w:rsidR="00726E3A" w:rsidRPr="00726E3A" w14:paraId="19B6B182" w14:textId="77777777" w:rsidTr="001047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2B4511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05706D" w14:textId="77777777" w:rsidR="00726E3A" w:rsidRPr="00726E3A" w:rsidRDefault="00726E3A" w:rsidP="00726E3A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C48CA4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__________________________________________________,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«Лицензиат»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___________________________________, действующего на основании _________________________ с одной стороны, и</w:t>
      </w:r>
    </w:p>
    <w:p w14:paraId="5F541CD5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7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«Сублицензиат»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____________________________________, действующего на основании Устава, с другой стороны, вместе именуемые «Стороны» составили настоящий Акт приемки-передачи объекта интеллектуальной собственности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материальном носителе 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Акт) к сублицензионному договору о предоставлении права использования программного обеспечения № ___ от "___" _________ 20__ г. (далее - Договор) о нижеследующем:</w:t>
      </w:r>
    </w:p>
    <w:p w14:paraId="38E30C7E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313F0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Лицензиат  передает объект интеллектуальной собственности: программы _____________________________________________________на материальном носителе в электронном виде _________________ в количестве </w:t>
      </w: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(один)</w:t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экземпляр, а Сублицензиат принимает объект интеллектуальной собственности на материальном носителе.</w:t>
      </w:r>
    </w:p>
    <w:p w14:paraId="6900DA0B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Лицензиат  передает Сублицензиату права на объект интеллектуальной собственности: программы _______________________ ________________________________ в объеме, указанном в пункте 2.1. Договора.</w:t>
      </w:r>
    </w:p>
    <w:p w14:paraId="60B9BB93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Индивидуальная характеристика объекта интеллектуальной собственности: программное обеспечение.</w:t>
      </w:r>
    </w:p>
    <w:p w14:paraId="505DDF9A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Материальный носитель объекта интеллектуальной собственности осмотрен Лицензиатом и принят в исправном состоянии.</w:t>
      </w:r>
    </w:p>
    <w:p w14:paraId="3C57F1AF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 составлен в двух экземплярах, по одному для Лицензиата  и Сублицензиата.</w:t>
      </w: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726E3A" w:rsidRPr="00726E3A" w14:paraId="4140B9F6" w14:textId="77777777" w:rsidTr="00104799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F24" w14:textId="77777777" w:rsidR="00726E3A" w:rsidRPr="00726E3A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F660" w14:textId="77777777" w:rsidR="00726E3A" w:rsidRPr="00726E3A" w:rsidRDefault="00726E3A" w:rsidP="00726E3A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Сублицензиата:</w:t>
            </w:r>
          </w:p>
        </w:tc>
      </w:tr>
    </w:tbl>
    <w:p w14:paraId="6B2ADA39" w14:textId="77777777" w:rsidR="00726E3A" w:rsidRPr="00726E3A" w:rsidRDefault="00726E3A" w:rsidP="00726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2DDE2" w14:textId="05E8585C" w:rsidR="00726E3A" w:rsidRPr="002C49AC" w:rsidRDefault="00726E3A" w:rsidP="002C49AC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Pr="00726E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/__________/</w:t>
      </w:r>
      <w:r w:rsidRPr="00726E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72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Pr="00726E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/__________/</w:t>
      </w:r>
    </w:p>
    <w:sectPr w:rsidR="00726E3A" w:rsidRPr="002C49AC" w:rsidSect="00247C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6B5E" w14:textId="77777777" w:rsidR="009D2AF3" w:rsidRDefault="009D2AF3" w:rsidP="00247CDF">
      <w:pPr>
        <w:spacing w:after="0" w:line="240" w:lineRule="auto"/>
      </w:pPr>
      <w:r>
        <w:separator/>
      </w:r>
    </w:p>
  </w:endnote>
  <w:endnote w:type="continuationSeparator" w:id="0">
    <w:p w14:paraId="0E18A444" w14:textId="77777777" w:rsidR="009D2AF3" w:rsidRDefault="009D2AF3" w:rsidP="002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C70D" w14:textId="77777777" w:rsidR="009D2AF3" w:rsidRDefault="009D2AF3" w:rsidP="00247CDF">
      <w:pPr>
        <w:spacing w:after="0" w:line="240" w:lineRule="auto"/>
      </w:pPr>
      <w:r>
        <w:separator/>
      </w:r>
    </w:p>
  </w:footnote>
  <w:footnote w:type="continuationSeparator" w:id="0">
    <w:p w14:paraId="7076F1C7" w14:textId="77777777" w:rsidR="009D2AF3" w:rsidRDefault="009D2AF3" w:rsidP="00247CDF">
      <w:pPr>
        <w:spacing w:after="0" w:line="240" w:lineRule="auto"/>
      </w:pPr>
      <w:r>
        <w:continuationSeparator/>
      </w:r>
    </w:p>
  </w:footnote>
  <w:footnote w:id="1">
    <w:p w14:paraId="26B2EFB6" w14:textId="77777777" w:rsidR="00726E3A" w:rsidRDefault="00726E3A" w:rsidP="00726E3A">
      <w:pPr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A47F28">
        <w:rPr>
          <w:rFonts w:ascii="Times New Roman" w:hAnsi="Times New Roman"/>
          <w:sz w:val="20"/>
          <w:szCs w:val="20"/>
        </w:rPr>
        <w:t xml:space="preserve">Данный пункт не добавляется в договор, если </w:t>
      </w:r>
      <w:r>
        <w:rPr>
          <w:rFonts w:ascii="Times New Roman" w:hAnsi="Times New Roman"/>
          <w:sz w:val="20"/>
          <w:szCs w:val="20"/>
        </w:rPr>
        <w:t xml:space="preserve">Лицензиатом </w:t>
      </w:r>
      <w:r w:rsidRPr="00A47F28">
        <w:rPr>
          <w:rFonts w:ascii="Times New Roman" w:hAnsi="Times New Roman"/>
          <w:sz w:val="20"/>
          <w:szCs w:val="20"/>
        </w:rPr>
        <w:t xml:space="preserve">  является индивидуальный предприниматель.</w:t>
      </w:r>
    </w:p>
    <w:p w14:paraId="39A2E3E5" w14:textId="77777777" w:rsidR="00726E3A" w:rsidRDefault="00726E3A" w:rsidP="00726E3A">
      <w:pPr>
        <w:pStyle w:val="a3"/>
      </w:pPr>
    </w:p>
  </w:footnote>
  <w:footnote w:id="2">
    <w:p w14:paraId="390DACAC" w14:textId="3B996AF9" w:rsidR="00726E3A" w:rsidRDefault="00726E3A" w:rsidP="00726E3A">
      <w:pPr>
        <w:pStyle w:val="a3"/>
      </w:pPr>
      <w:r>
        <w:rPr>
          <w:rStyle w:val="a5"/>
        </w:rPr>
        <w:footnoteRef/>
      </w:r>
      <w:r>
        <w:t xml:space="preserve"> </w:t>
      </w:r>
      <w:r w:rsidRPr="00707102">
        <w:rPr>
          <w:rFonts w:ascii="Times New Roman" w:hAnsi="Times New Roman"/>
          <w:sz w:val="22"/>
          <w:szCs w:val="22"/>
        </w:rPr>
        <w:t xml:space="preserve">Пункт </w:t>
      </w:r>
      <w:r w:rsidR="0086613E" w:rsidRPr="00707102">
        <w:rPr>
          <w:rFonts w:ascii="Times New Roman" w:hAnsi="Times New Roman"/>
          <w:sz w:val="22"/>
          <w:szCs w:val="22"/>
        </w:rPr>
        <w:t>включается,</w:t>
      </w:r>
      <w:r w:rsidRPr="00707102">
        <w:rPr>
          <w:rFonts w:ascii="Times New Roman" w:hAnsi="Times New Roman"/>
          <w:sz w:val="22"/>
          <w:szCs w:val="22"/>
        </w:rPr>
        <w:t xml:space="preserve"> если при исполнении Договора осуществляется обработка информации, содержащей персональные данные</w:t>
      </w:r>
    </w:p>
  </w:footnote>
  <w:footnote w:id="3">
    <w:p w14:paraId="692F69A1" w14:textId="77777777" w:rsidR="00726E3A" w:rsidRPr="00F765CB" w:rsidRDefault="00726E3A" w:rsidP="00726E3A">
      <w:pPr>
        <w:pStyle w:val="a3"/>
        <w:rPr>
          <w:rFonts w:ascii="Times New Roman" w:hAnsi="Times New Roman"/>
          <w:sz w:val="24"/>
          <w:szCs w:val="24"/>
        </w:rPr>
      </w:pPr>
      <w:r w:rsidRPr="00F765CB">
        <w:rPr>
          <w:rStyle w:val="a5"/>
          <w:rFonts w:ascii="Times New Roman" w:hAnsi="Times New Roman"/>
          <w:sz w:val="24"/>
          <w:szCs w:val="24"/>
        </w:rPr>
        <w:footnoteRef/>
      </w:r>
      <w:r w:rsidRPr="00967C40">
        <w:rPr>
          <w:rFonts w:ascii="Times New Roman" w:hAnsi="Times New Roman"/>
        </w:rPr>
        <w:t>Раздел заполняется индивидуально под каждую сделку.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E"/>
    <w:multiLevelType w:val="hybridMultilevel"/>
    <w:tmpl w:val="2C88D558"/>
    <w:name w:val="WW8Num223222222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375916"/>
    <w:multiLevelType w:val="hybridMultilevel"/>
    <w:tmpl w:val="8F56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C543E"/>
    <w:multiLevelType w:val="multilevel"/>
    <w:tmpl w:val="655252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073839"/>
    <w:multiLevelType w:val="multilevel"/>
    <w:tmpl w:val="1BB68B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49766766">
    <w:abstractNumId w:val="3"/>
  </w:num>
  <w:num w:numId="2" w16cid:durableId="535967101">
    <w:abstractNumId w:val="2"/>
  </w:num>
  <w:num w:numId="3" w16cid:durableId="650133449">
    <w:abstractNumId w:val="4"/>
  </w:num>
  <w:num w:numId="4" w16cid:durableId="640500618">
    <w:abstractNumId w:val="1"/>
  </w:num>
  <w:num w:numId="5" w16cid:durableId="178942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DF"/>
    <w:rsid w:val="001B2649"/>
    <w:rsid w:val="00247CDF"/>
    <w:rsid w:val="002C49AC"/>
    <w:rsid w:val="00300770"/>
    <w:rsid w:val="004368EF"/>
    <w:rsid w:val="004D38FE"/>
    <w:rsid w:val="00584DDF"/>
    <w:rsid w:val="005F5BF4"/>
    <w:rsid w:val="006A695D"/>
    <w:rsid w:val="00726E3A"/>
    <w:rsid w:val="00746DFC"/>
    <w:rsid w:val="007B708E"/>
    <w:rsid w:val="0086613E"/>
    <w:rsid w:val="00937172"/>
    <w:rsid w:val="00952F08"/>
    <w:rsid w:val="009D2AF3"/>
    <w:rsid w:val="00C04D97"/>
    <w:rsid w:val="00C47F80"/>
    <w:rsid w:val="00C7755B"/>
    <w:rsid w:val="00C91803"/>
    <w:rsid w:val="00F110A6"/>
    <w:rsid w:val="00F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4798"/>
  <w15:chartTrackingRefBased/>
  <w15:docId w15:val="{1E2668F5-52AF-4E33-A954-73537FE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368EF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4"/>
    <w:uiPriority w:val="99"/>
    <w:unhideWhenUsed/>
    <w:qFormat/>
    <w:rsid w:val="00247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3"/>
    <w:uiPriority w:val="99"/>
    <w:qFormat/>
    <w:rsid w:val="00247C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qFormat/>
    <w:rsid w:val="00247CDF"/>
    <w:rPr>
      <w:vertAlign w:val="superscript"/>
    </w:rPr>
  </w:style>
  <w:style w:type="paragraph" w:customStyle="1" w:styleId="Style30">
    <w:name w:val="Style30"/>
    <w:basedOn w:val="a"/>
    <w:rsid w:val="002C49AC"/>
    <w:pPr>
      <w:widowControl w:val="0"/>
      <w:autoSpaceDE w:val="0"/>
      <w:autoSpaceDN w:val="0"/>
      <w:adjustRightInd w:val="0"/>
      <w:spacing w:after="0" w:line="26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2C49AC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basedOn w:val="a"/>
    <w:link w:val="ConsNormal0"/>
    <w:qFormat/>
    <w:rsid w:val="002C49AC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C49A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68EF"/>
    <w:rPr>
      <w:rFonts w:eastAsiaTheme="minorEastAsia"/>
      <w:b/>
      <w:bCs/>
      <w:i/>
      <w:iCs/>
      <w:sz w:val="26"/>
      <w:szCs w:val="26"/>
      <w:lang w:eastAsia="ru-RU"/>
    </w:rPr>
  </w:style>
  <w:style w:type="paragraph" w:customStyle="1" w:styleId="ListParagraph1">
    <w:name w:val="List Paragraph1"/>
    <w:basedOn w:val="a"/>
    <w:rsid w:val="004368EF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B26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B2649"/>
    <w:pPr>
      <w:ind w:left="720"/>
      <w:contextualSpacing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Абзац списка Знак"/>
    <w:link w:val="a6"/>
    <w:uiPriority w:val="34"/>
    <w:locked/>
    <w:rsid w:val="001B2649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C023F36E17D74BC66C5AD42985072DDA67423d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113753995BF7432460AC023F36E17D74BC66C5AD42985072DDA67423d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FE415F6020B7EB24757BAFED7EEA7FB38439293157276F74A0AA2n0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79644733337</cp:lastModifiedBy>
  <cp:revision>12</cp:revision>
  <dcterms:created xsi:type="dcterms:W3CDTF">2024-07-22T05:34:00Z</dcterms:created>
  <dcterms:modified xsi:type="dcterms:W3CDTF">2024-11-28T07:00:00Z</dcterms:modified>
</cp:coreProperties>
</file>