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7777777" w:rsidR="00D0387A" w:rsidRPr="00465A78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tbl>
      <w:tblPr>
        <w:tblStyle w:val="23"/>
        <w:tblW w:w="113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"/>
        <w:gridCol w:w="7230"/>
        <w:gridCol w:w="425"/>
        <w:gridCol w:w="567"/>
        <w:gridCol w:w="398"/>
        <w:gridCol w:w="27"/>
      </w:tblGrid>
      <w:tr w:rsidR="002D73DE" w:rsidRPr="002D73DE" w14:paraId="4C22724F" w14:textId="77777777" w:rsidTr="002D73DE">
        <w:tc>
          <w:tcPr>
            <w:tcW w:w="567" w:type="dxa"/>
          </w:tcPr>
          <w:p w14:paraId="24BA2E5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  <w:p w14:paraId="1591212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7BB131E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D3495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5FB2AA0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Набор реагентов ИХА-ТРОПОНИН I</w:t>
            </w:r>
          </w:p>
        </w:tc>
        <w:tc>
          <w:tcPr>
            <w:tcW w:w="7661" w:type="dxa"/>
            <w:gridSpan w:val="3"/>
            <w:vAlign w:val="center"/>
          </w:tcPr>
          <w:p w14:paraId="6432040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6DD10B1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Тест-кассеты для одноэтапного быстрого качественного определения кардиального тропонина I  в цельной крови, сыворотке, плазме крови человека методом иммунохроматографическогоанализа.,чувствительность не менее 0,5нг/мл,специфичность не менее 98,4%</w:t>
            </w:r>
          </w:p>
        </w:tc>
        <w:tc>
          <w:tcPr>
            <w:tcW w:w="567" w:type="dxa"/>
            <w:vAlign w:val="center"/>
          </w:tcPr>
          <w:p w14:paraId="07A3FC1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  <w:vAlign w:val="center"/>
          </w:tcPr>
          <w:p w14:paraId="390B3D8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7F4318F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6C225A7B" w14:textId="77777777" w:rsidTr="002D73DE">
        <w:tc>
          <w:tcPr>
            <w:tcW w:w="567" w:type="dxa"/>
          </w:tcPr>
          <w:p w14:paraId="608816C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FDF384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тиреотропного гормона (ТТГ) в сыворотке крови человека</w:t>
            </w:r>
          </w:p>
        </w:tc>
        <w:tc>
          <w:tcPr>
            <w:tcW w:w="7661" w:type="dxa"/>
            <w:gridSpan w:val="3"/>
          </w:tcPr>
          <w:p w14:paraId="117E96B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Формат теста –96 определений (48 в дублях) </w:t>
            </w:r>
          </w:p>
          <w:p w14:paraId="4067E62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Принцип метода: «сэндвич», одностадийный вариант.</w:t>
            </w:r>
          </w:p>
          <w:p w14:paraId="6CF56EE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Режим инкубации – при комнатной температуре без встряхивания. </w:t>
            </w:r>
          </w:p>
          <w:p w14:paraId="1EACCD7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Количество анализируемого образца не более 100 мкл. </w:t>
            </w:r>
          </w:p>
          <w:p w14:paraId="665237F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калибровочных проб готовых к применению (не требующих дополнительного разведения) не менее 5 флаконов</w:t>
            </w:r>
          </w:p>
          <w:p w14:paraId="7B3B2A9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Конъюгат готовый к применению (не требующий дополнительного разведения) не менее 1 флакона</w:t>
            </w:r>
          </w:p>
          <w:p w14:paraId="27DD035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Флаконы референсной сыворотки с концентрациями ТТГ в диапазоне не менее 0-32  мкМЕ/мл.</w:t>
            </w:r>
          </w:p>
          <w:p w14:paraId="64D54A5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Чувствительность  не более 0,078  мкМЕ/мл.</w:t>
            </w:r>
          </w:p>
          <w:p w14:paraId="6592A90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Срок годности набора не менее 15 месяцев </w:t>
            </w:r>
          </w:p>
          <w:p w14:paraId="466A4F5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 – обязательно (указать номер РУ)</w:t>
            </w:r>
          </w:p>
        </w:tc>
        <w:tc>
          <w:tcPr>
            <w:tcW w:w="567" w:type="dxa"/>
          </w:tcPr>
          <w:p w14:paraId="7771F35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69909EA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4</w:t>
            </w:r>
          </w:p>
        </w:tc>
      </w:tr>
      <w:tr w:rsidR="002D73DE" w:rsidRPr="002D73DE" w14:paraId="1A5627AB" w14:textId="77777777" w:rsidTr="002D73DE">
        <w:tc>
          <w:tcPr>
            <w:tcW w:w="567" w:type="dxa"/>
          </w:tcPr>
          <w:p w14:paraId="7CF6124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727EF5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содержания свободного тироксина (Т4 свободный) в сыворотке крови человека</w:t>
            </w:r>
          </w:p>
        </w:tc>
        <w:tc>
          <w:tcPr>
            <w:tcW w:w="7661" w:type="dxa"/>
            <w:gridSpan w:val="3"/>
          </w:tcPr>
          <w:p w14:paraId="22164D8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Набор реагентов, предназначенный для количественного иммуноферментного определения концентрации свободного тироксина в сыворотке крови человека. Метод анализа – одностадийный, конкурентный ИФА. Количество определений не менее 96. Количество анализируемой сыворотки не более 20 мкл. Максимальное время внесения калибровочных проб, контрольной сыворотки и исследуемых образцов не менее 20 мин. Термостатируемое шейкирование при + 37С, для обеспечения воспроизводимости результатов. Время инкубации - не более 60 минут. Диапазон определения концентраций не уже 10 -320 нмоль/л, чувствительность: не более 10 нмоль/л. Состав набора: 8-ми луночный, 12-ти стриповый планшет, разделяемый на отдельные лунки. ТМБ готовый к использованию, однокомпонентный, не менее 1фл. - 14 мл. Калибровочные пробы: не менее 6 фл. по 0,5 мл (0;20;40;80;160;320) нмоль/л.Контрольная сыворотка - жидкая, готовая к использованию. Промывочный буфер 20-кратный концентрат, не менее 20 мл. Готовый к использованию промывочный буфер хранится не менее 5 суток при комнатной температуре. Кол-во промывок не менее 4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набора не менее 18 месяцев. Наличие РУ.</w:t>
            </w:r>
          </w:p>
          <w:p w14:paraId="4CA8005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22D9F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2810749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356AEBC8" w14:textId="77777777" w:rsidTr="002D73DE">
        <w:tc>
          <w:tcPr>
            <w:tcW w:w="567" w:type="dxa"/>
          </w:tcPr>
          <w:p w14:paraId="763C77E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8D1B0C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Набор реагентов для количественного иммуноферментного определения свободного трийодтиронина</w:t>
            </w:r>
          </w:p>
          <w:p w14:paraId="6F7717C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61" w:type="dxa"/>
            <w:gridSpan w:val="3"/>
          </w:tcPr>
          <w:p w14:paraId="46D93A6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Набор реагентов, предназначенный для количественного иммуноферментного определения концентрации свободного трийодтиронина в сыворотке крови человека. Метод анализа - одностадийный, конкурентный ИФА. Количество определений не менее 96. Количество анализируемой сыворотки  не более 50 мкл. Максимальное время внесения калибровочных проб, контрольной сыворотки и исследуемых образцов не менее 20 мин. Шейкирование при комнатной температуре. Время инкубации - не более 60 минут. Диапазон определения концентраций: не уже 0,4-30 пг/мл. Чувствительность: не более 0,4 пг/мл. Состав набора: 8-ми луночный, 12-ти стриповый планшет, разделяемый на отдельные лунки. ТМБ готовый к использованию, однокомпонентный, не менее 1фл. 14 мл. Калибровочные пробы: не менее 6 фл. по 0,5 мл (0; 1,5; 3; 6, 15, 30) пг/мл. Контрольная сыворотка - жидкая, готовая к использованиюПромывочный буфер 20-кратный концентрат, не менее 20 мл. Готовый к использованию промывочный буфер хранится не менее 5 суток при комнатной температуре. Кол-во промывок не менее 4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набора не менее 18 месяцев. Наличие РУ</w:t>
            </w:r>
          </w:p>
          <w:p w14:paraId="16A2C2A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12922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4C7EBEC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3AE5D862" w14:textId="77777777" w:rsidTr="002D73DE">
        <w:tc>
          <w:tcPr>
            <w:tcW w:w="567" w:type="dxa"/>
          </w:tcPr>
          <w:p w14:paraId="61E436A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B11FDE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Тест-система для количественного определения аутоантител к тироидной пероксидазе (анти-ТПО) в </w:t>
            </w:r>
            <w:r w:rsidRPr="002D73DE">
              <w:rPr>
                <w:sz w:val="20"/>
                <w:szCs w:val="20"/>
              </w:rPr>
              <w:lastRenderedPageBreak/>
              <w:t>сыворотке крови человека</w:t>
            </w:r>
          </w:p>
        </w:tc>
        <w:tc>
          <w:tcPr>
            <w:tcW w:w="7661" w:type="dxa"/>
            <w:gridSpan w:val="3"/>
          </w:tcPr>
          <w:p w14:paraId="4C45B70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lastRenderedPageBreak/>
              <w:t xml:space="preserve">Набор реагентов, предназначенный для количественного иммуноферментного определения концентрации аутоантител к тироидной пероксидазе в сыворотке крови человека. Метод анализа – двухстадийный, непрямой ИФА. Количество определений не менее 96. Количество анализируемого образца не более 100 мкл, количество анализируемой сыворотки - не более 10 мкл. Предварительное разведение образцов не </w:t>
            </w:r>
            <w:r w:rsidRPr="002D73DE">
              <w:rPr>
                <w:color w:val="000000"/>
                <w:sz w:val="20"/>
                <w:szCs w:val="20"/>
              </w:rPr>
              <w:lastRenderedPageBreak/>
              <w:t>менее, чем в 100 раз. Максимальное время внесения калибровочных проб, контрольной сыворотки и исследуемых образцов не менее 20 мин.  Инкубация при температуре +18…25С без шейкирования; Время инкубации не более 45 минут (30 минут (1стадия) + 15 минут (2 стадия)). Диапазон определения концентраций не уже: 1,5-500 МЕ/мл. Чувствительность: не более 1,5 МЕ/мл. Состав набора: не менее одного 8-ми луночного, 12-ти стрипового планшета, разделяемого на отдельные лунки.ТМБ готовый к использованию, однокомпонентный, не менее 1фл. 14 мл.Калибровочные пробы: не менее 6 фл. по не менее 1,0 мл  (0;25;75;150;250;500 МЕ/мл). Калибровочные пробы аттестованы по международному стандарту NIBSC 66/387. Контрольная сыворотка - жидкая, готовая к использованию, не менее: 1 флакон, 1,0 мл. Буфер для разведения исследуемых образцов не менее: 1 фл. 50 мл. Промывочный буфер 20-кратный концентрат, не менее 2 флаконов по 20 мл. Готовый к использованию промывочный буфер хранится не менее 5 суток при комнатной температуре. Количество промывок не менее 5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набора не менее 18 месяцев. Наличие РУ.</w:t>
            </w:r>
          </w:p>
          <w:p w14:paraId="298C091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44DCD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425" w:type="dxa"/>
            <w:gridSpan w:val="2"/>
          </w:tcPr>
          <w:p w14:paraId="78D9141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21510349" w14:textId="77777777" w:rsidTr="002D73DE">
        <w:tc>
          <w:tcPr>
            <w:tcW w:w="567" w:type="dxa"/>
          </w:tcPr>
          <w:p w14:paraId="1EAAE97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DCB471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Набор реагентов для иммуноферментного выявления суммарных антител в Treponema pallidum</w:t>
            </w:r>
          </w:p>
          <w:p w14:paraId="1A73BE9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61" w:type="dxa"/>
            <w:gridSpan w:val="3"/>
          </w:tcPr>
          <w:p w14:paraId="656349E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Выявления суммарных антител  (IgG, IgA, IgM) к Treponema pallidum в сыворотке/плазме крови и ликворе человека. Метод одностадийный, не требующий предварительной промывки. Планшет  с иммобилизованными рекомбинантными антигенами Treponema pallidum. Количество определений не менее 192, включая контроли. Обьем образца  (сыворотки/плазмы крови, ликвора) не более 10 мкл. Внесение образцов в  рабочий раствор конъюгата. Возможность спектрофотометрического контроля внесения исследуемых образцов в лунки с раствором конъюгата. Стабильность рабочего раствора конъюгата и рабочего раствора тетраметилбензидина не менее 10 ч. Наличие унифицированных неспецифических компонентов, разовых емкостей для растворов, наконечников для пипеток, клейкой пленки для планшетов.  Постановка исследуемых сывороток в дублях не предусмотрена. Дробное использование набора после вскрытия набора на протяжении не менее 12 месяцев.</w:t>
            </w:r>
          </w:p>
          <w:p w14:paraId="2D17BCE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B5A49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0D76CAD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6B395718" w14:textId="77777777" w:rsidTr="002D73DE">
        <w:tc>
          <w:tcPr>
            <w:tcW w:w="567" w:type="dxa"/>
          </w:tcPr>
          <w:p w14:paraId="3BF7DC3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EC7010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237EDFA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5556E46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содержания пролактина в сыворотке крови человека</w:t>
            </w:r>
          </w:p>
        </w:tc>
        <w:tc>
          <w:tcPr>
            <w:tcW w:w="7661" w:type="dxa"/>
            <w:gridSpan w:val="3"/>
          </w:tcPr>
          <w:p w14:paraId="0185425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704F1EA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Формат теста – 96 определений (48 в дублях) </w:t>
            </w:r>
          </w:p>
          <w:p w14:paraId="2656FF9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Принцип метода: «сэндвич», одностадийный вариант.</w:t>
            </w:r>
          </w:p>
          <w:p w14:paraId="72977DC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Режим инкубации – при комнатной температуре без встряхивания.</w:t>
            </w:r>
          </w:p>
          <w:p w14:paraId="38C1DB5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Количество анализируемого образца не более 100 мкл.</w:t>
            </w:r>
          </w:p>
          <w:p w14:paraId="000794F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калибровочных проб готовых к применению (не требующих дополнительного разведения) не менее 5 флаконов</w:t>
            </w:r>
          </w:p>
          <w:p w14:paraId="3DEA4F6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Конъюгат готовый к применению (не требующий дополнительного разведения) не менее 1 флакона</w:t>
            </w:r>
          </w:p>
          <w:p w14:paraId="60F3DD9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Чувствительность не более 0,48 нг/мл.</w:t>
            </w:r>
          </w:p>
          <w:p w14:paraId="06887E1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Диапазон измеряемых концентраций  не менее 0 - 200 нг/мл.</w:t>
            </w:r>
          </w:p>
          <w:p w14:paraId="3D59ED7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Срок годности набора не менее 15 месяцев </w:t>
            </w:r>
          </w:p>
          <w:p w14:paraId="3DF8593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 – обязательно (указать номер РУ)</w:t>
            </w:r>
          </w:p>
        </w:tc>
        <w:tc>
          <w:tcPr>
            <w:tcW w:w="567" w:type="dxa"/>
          </w:tcPr>
          <w:p w14:paraId="7B8311B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6E4B233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53930CD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B6134F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253CEA0E" w14:textId="77777777" w:rsidTr="002D73DE">
        <w:tc>
          <w:tcPr>
            <w:tcW w:w="567" w:type="dxa"/>
          </w:tcPr>
          <w:p w14:paraId="11CF277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532A8BF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кортизола в сыворотке крови человека</w:t>
            </w:r>
          </w:p>
        </w:tc>
        <w:tc>
          <w:tcPr>
            <w:tcW w:w="7661" w:type="dxa"/>
            <w:gridSpan w:val="3"/>
          </w:tcPr>
          <w:p w14:paraId="2247C33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Формат теста – 96 определений (48 в дублях) </w:t>
            </w:r>
          </w:p>
          <w:p w14:paraId="3618077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Принцип метода: конкурентный анализ, одностадийный вариант.</w:t>
            </w:r>
          </w:p>
          <w:p w14:paraId="52E24F5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Количество анализируемого образца не более 100 мкл</w:t>
            </w:r>
          </w:p>
          <w:p w14:paraId="4F09CB6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калибровочных проб готовых к применению (не требующих дополнительного разведения) не менее 5 флаконов</w:t>
            </w:r>
          </w:p>
          <w:p w14:paraId="45CC838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Конъюгат готовый к применению (не требующий дополнительного разведения) не менее 1 флакона</w:t>
            </w:r>
          </w:p>
          <w:p w14:paraId="51DFE2A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Режим инкубации – при комнатной температуре без встряхивания.</w:t>
            </w:r>
          </w:p>
          <w:p w14:paraId="1508365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Чувствительность не более 6,9 нмоль/л.</w:t>
            </w:r>
          </w:p>
          <w:p w14:paraId="77191DC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Диапазон измеряемых концентраций не менее  0 - 1380 нмоль/л.</w:t>
            </w:r>
          </w:p>
          <w:p w14:paraId="1998B01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Срок годности набора не менее 15 месяцев</w:t>
            </w:r>
          </w:p>
          <w:p w14:paraId="11A836C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 – обязательно (указать номер РУ)</w:t>
            </w:r>
          </w:p>
        </w:tc>
        <w:tc>
          <w:tcPr>
            <w:tcW w:w="567" w:type="dxa"/>
          </w:tcPr>
          <w:p w14:paraId="7D4B252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46DCF20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474FCD12" w14:textId="77777777" w:rsidTr="002D73DE">
        <w:tc>
          <w:tcPr>
            <w:tcW w:w="567" w:type="dxa"/>
          </w:tcPr>
          <w:p w14:paraId="2CEBDED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FCFFFE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содержания общего простата-специфического анти</w:t>
            </w:r>
            <w:r w:rsidRPr="002D73DE">
              <w:rPr>
                <w:sz w:val="20"/>
                <w:szCs w:val="20"/>
              </w:rPr>
              <w:lastRenderedPageBreak/>
              <w:t>гена (ПСА общий) в сыворотке крови человека</w:t>
            </w:r>
          </w:p>
        </w:tc>
        <w:tc>
          <w:tcPr>
            <w:tcW w:w="7661" w:type="dxa"/>
            <w:gridSpan w:val="3"/>
          </w:tcPr>
          <w:p w14:paraId="1999CE3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lastRenderedPageBreak/>
              <w:t xml:space="preserve">Формат теста –96 определений (48 в дублях) </w:t>
            </w:r>
          </w:p>
          <w:p w14:paraId="3C88C09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Принцип метода: твердофазный иммуноферментный,  одностадийный «сэндвич».</w:t>
            </w:r>
          </w:p>
          <w:p w14:paraId="6550311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Режим инкубации – при комнатной температуре без встряхивания.</w:t>
            </w:r>
          </w:p>
          <w:p w14:paraId="50777AC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Количество анализируемого образца не более  100 мкл.</w:t>
            </w:r>
          </w:p>
          <w:p w14:paraId="12AEB63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калибровочных проб готовых к применению (не требующих дополнительно</w:t>
            </w:r>
            <w:r w:rsidRPr="002D73DE">
              <w:rPr>
                <w:sz w:val="20"/>
                <w:szCs w:val="20"/>
              </w:rPr>
              <w:lastRenderedPageBreak/>
              <w:t>го разведения) не менее 5 флаконов</w:t>
            </w:r>
          </w:p>
          <w:p w14:paraId="5391D24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Конъюгат готовый к применению (не требующий дополнительного разведения) не менее 1 флакона</w:t>
            </w:r>
          </w:p>
          <w:p w14:paraId="1C3C7CE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Чувствительность не более 0,2 нг/мл.</w:t>
            </w:r>
          </w:p>
          <w:p w14:paraId="5791847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Диапазон определения концентраций не менее 0-25  нг/мл </w:t>
            </w:r>
          </w:p>
          <w:p w14:paraId="0493801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Срок годности набора не менее18 месяцев</w:t>
            </w:r>
          </w:p>
          <w:p w14:paraId="29A5579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 – обязательно (указать номер РУ)</w:t>
            </w:r>
          </w:p>
        </w:tc>
        <w:tc>
          <w:tcPr>
            <w:tcW w:w="567" w:type="dxa"/>
          </w:tcPr>
          <w:p w14:paraId="471EB51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425" w:type="dxa"/>
            <w:gridSpan w:val="2"/>
          </w:tcPr>
          <w:p w14:paraId="00152C4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738E251B" w14:textId="77777777" w:rsidTr="002D73DE">
        <w:tc>
          <w:tcPr>
            <w:tcW w:w="567" w:type="dxa"/>
          </w:tcPr>
          <w:p w14:paraId="5B7B175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1C3C1A8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Тест-система для количественного определения СА-125 в сыворотке крови человека</w:t>
            </w:r>
          </w:p>
        </w:tc>
        <w:tc>
          <w:tcPr>
            <w:tcW w:w="7661" w:type="dxa"/>
            <w:gridSpan w:val="3"/>
          </w:tcPr>
          <w:p w14:paraId="48D1D14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Формат теста –96 определений (48 в дублях) </w:t>
            </w:r>
          </w:p>
          <w:p w14:paraId="3455974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Принцип метода - «сэндвич»</w:t>
            </w:r>
          </w:p>
          <w:p w14:paraId="5298A75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Режим инкубации – при комнатной температуре .</w:t>
            </w:r>
          </w:p>
          <w:p w14:paraId="4559028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Количество анализируемого образца не более 100 мкл.</w:t>
            </w:r>
          </w:p>
          <w:p w14:paraId="02C214C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калибровочных проб готовых к применению (не требующих дополнительного разведения) не менее 5 флаконов</w:t>
            </w:r>
          </w:p>
          <w:p w14:paraId="6AA3470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Конъюгат готовый к применению (не требующий дополнительного разведения) не менее 1 флакона</w:t>
            </w:r>
          </w:p>
          <w:p w14:paraId="14E85DE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Чувствительность не более 1,5 ЕД/мл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Диапазон измеряемых концентраций не менее 0-500 ЕД/мл</w:t>
            </w:r>
          </w:p>
          <w:p w14:paraId="3167B55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Срок годности набора не менее 15 месяцев </w:t>
            </w:r>
          </w:p>
          <w:p w14:paraId="72A4DAE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 – обязательно (указать номер РУ)</w:t>
            </w:r>
          </w:p>
        </w:tc>
        <w:tc>
          <w:tcPr>
            <w:tcW w:w="567" w:type="dxa"/>
          </w:tcPr>
          <w:p w14:paraId="396F3D1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7B868AF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</w:t>
            </w:r>
          </w:p>
        </w:tc>
      </w:tr>
      <w:tr w:rsidR="002D73DE" w:rsidRPr="002D73DE" w14:paraId="0C32E235" w14:textId="77777777" w:rsidTr="002D73DE">
        <w:tc>
          <w:tcPr>
            <w:tcW w:w="567" w:type="dxa"/>
          </w:tcPr>
          <w:p w14:paraId="2F3274E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3DBC3BC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Набор реагентов для определения тестостерона</w:t>
            </w:r>
          </w:p>
        </w:tc>
        <w:tc>
          <w:tcPr>
            <w:tcW w:w="7661" w:type="dxa"/>
            <w:gridSpan w:val="3"/>
          </w:tcPr>
          <w:p w14:paraId="794F1EE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Формат теста –96 определений (48 в дублях) </w:t>
            </w:r>
          </w:p>
          <w:p w14:paraId="6B6198A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Количество анализируемой сыворотки  20 мкл, метод анализа - конкурентный одностад. Все реагенты жидкие, готовые не требующие дополнительных разведений, ТМБ готовый, однокомпонентный готовый 1 фл 14 мл, Калибраторы 6 фл по 0,5 мл (0;0,5;1,5;5;15,50) нмоль/л, Анализируемуе сыворотки 48 часов при +2-8С, ил 2 месяца при -20С, Промывочный буфер 20Х14 мл, хранится 5 суток при комнатной температуре. Промывочный буфер при разведении не должен образовывать кристаллы. </w:t>
            </w:r>
          </w:p>
          <w:p w14:paraId="1A2A079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567" w:type="dxa"/>
          </w:tcPr>
          <w:p w14:paraId="5971623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6DD1298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0D08216B" w14:textId="77777777" w:rsidTr="002D73DE">
        <w:tc>
          <w:tcPr>
            <w:tcW w:w="567" w:type="dxa"/>
          </w:tcPr>
          <w:p w14:paraId="171CCDB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470CC3B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Мультикалибратор (TruCal U), 1 х 3 мл</w:t>
            </w:r>
          </w:p>
        </w:tc>
        <w:tc>
          <w:tcPr>
            <w:tcW w:w="7661" w:type="dxa"/>
            <w:gridSpan w:val="3"/>
          </w:tcPr>
          <w:p w14:paraId="4FBE16D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Лиофилизированный универсальный мультикалибратор на основе сыворотки человека. Предназначен для калибровки фотометрических систем при определении не менее 30 биохимических параметров: Азот мочевины, Аланинаминотрансфераза, Альбумин, α-Амилаза (EPS-G7 метод), Аспартатаминотрансфераза, Белок общий, Билирубин общий, Билирубин прямой, Гамма-ГТ, α-ГБДГ, Глутаматдегидрогеназа, Глюкоза, Железо (Ферен), Кальций, Креатинин, Креатинкиназа, Лактат, Лактатдегидрогеназа (DGKC), Липаза, Магний, Мочевая кислота, Мочевина, НЖСС, Панкреатическая амилаза (EPS-G7 метод), Триглицериды, Фосфатаза щелочная (DGKC), Фосфор, Хлориды, Холестерин, Холинэстераза. Стабильность в невскрытых флаконах: до конца срока годности при температуре +2°С - +8°С. Стабильность аналитов в растворенном калибраторе при замораживании: не менее 30 дней, билирубин - не менее 14 дней. </w:t>
            </w:r>
            <w:r w:rsidRPr="002D73DE">
              <w:rPr>
                <w:color w:val="000000"/>
                <w:sz w:val="20"/>
                <w:szCs w:val="20"/>
              </w:rPr>
              <w:t>Комплектность: не менее 1 флакона по не менее 3 мл.</w:t>
            </w:r>
          </w:p>
        </w:tc>
        <w:tc>
          <w:tcPr>
            <w:tcW w:w="567" w:type="dxa"/>
          </w:tcPr>
          <w:p w14:paraId="4A7EB5C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7A11842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7AD14E19" w14:textId="77777777" w:rsidTr="002D73DE">
        <w:tc>
          <w:tcPr>
            <w:tcW w:w="567" w:type="dxa"/>
          </w:tcPr>
          <w:p w14:paraId="0BF6B78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12EC601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Контрольная сыворотка «Норма» (TruLab N), 1 х 5 мл</w:t>
            </w:r>
          </w:p>
          <w:p w14:paraId="112FDB6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61" w:type="dxa"/>
            <w:gridSpan w:val="3"/>
          </w:tcPr>
          <w:p w14:paraId="73FFDD7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 xml:space="preserve">Лиофилизированный универсальный контрольный </w:t>
            </w:r>
            <w:r w:rsidRPr="002D73DE">
              <w:rPr>
                <w:sz w:val="20"/>
                <w:szCs w:val="20"/>
              </w:rPr>
              <w:t xml:space="preserve">материал на основе сыворотки человека. Предназначен для проведения внутрилабораторного контроля качества при определении не менее 44 биохимических параметров in vitro в сыворотке и плазме крови, в том числе: α-Амилаза (EPS-G7 метод), α-ГБДГ, Глутаматдегидрогеназа, Железо (Ферен), Калий (ферментативный метод), Креатинкиназа МБ, Лактат, Лактатдегидрогеназа (DGKC), Липаза, Магний, Натрий (ферментативный метод), НЖСС, Панкреатическая амилаза (EPS-G7 метод), Фосфатаза щелочная (DGKC), Холестерин ЛПВП (прямой метод), Холестерин ЛПНП (прямой метод), Холинэстераза. Значения аналитов находятся в области низких значений. Стабильность в невскрытых флаконах: до конца срока годности при температуре +2°С - +8°С. Стабильность аналитов в растворенной контрольной сыворотке при замораживании: не менее 30 дней, билирубин - не менее 14 дней. </w:t>
            </w:r>
            <w:r w:rsidRPr="002D73DE">
              <w:rPr>
                <w:color w:val="000000"/>
                <w:sz w:val="20"/>
                <w:szCs w:val="20"/>
              </w:rPr>
              <w:t>Фасовка: не менее 1 х 5 мл.</w:t>
            </w:r>
          </w:p>
        </w:tc>
        <w:tc>
          <w:tcPr>
            <w:tcW w:w="567" w:type="dxa"/>
          </w:tcPr>
          <w:p w14:paraId="39E03E8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6ACAA2B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110FCBD0" w14:textId="77777777" w:rsidTr="002D73DE">
        <w:tc>
          <w:tcPr>
            <w:tcW w:w="567" w:type="dxa"/>
          </w:tcPr>
          <w:p w14:paraId="4AAE0C9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1225F24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Контрольная сыворотка «Патология» (TruLab Р), 1 х 5 мл</w:t>
            </w:r>
          </w:p>
        </w:tc>
        <w:tc>
          <w:tcPr>
            <w:tcW w:w="7661" w:type="dxa"/>
            <w:gridSpan w:val="3"/>
          </w:tcPr>
          <w:p w14:paraId="54CC0CB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Лиофилизированный универсальный контрольный материал на основе сыворотки человека. Предназначен для проведения внутрилабораторного контроля качества при определении не менее 43 биохимических параметров in vitro в сыворотке и плазме крови, в том числе: α-Амилаза (EPS-G7 метод), α-ГБДГ, Глутаматдегидрогеназа, Железо (Ферен), Калий (ферментативный метод), Креатинкиназа МБ, Лактат, Лактатдегидрогеназа (DGKC), Липаза, Магний, Натрий (ферментативный метод), Панкреатическая амилаза (EPS-G7 метод), Фосфатаза щелочная (DGKC), Холестерин ЛПВП (прямой метод), Холестерин ЛПНП (прямой метод), Холинэстераза. Значения аналитов находятся в области высоких значений. Стабильность в невскрытых флаконах: до конца срока годности при температуре +2°С - +8°С. Стабильность аналитов в растворенной кон</w:t>
            </w:r>
            <w:r w:rsidRPr="002D73DE">
              <w:rPr>
                <w:sz w:val="20"/>
                <w:szCs w:val="20"/>
              </w:rPr>
              <w:lastRenderedPageBreak/>
              <w:t xml:space="preserve">трольной сыворотке при замораживании: не менее 30 дней, билирубин - не менее 14 дней. </w:t>
            </w:r>
            <w:r w:rsidRPr="002D73DE">
              <w:rPr>
                <w:color w:val="000000"/>
                <w:sz w:val="20"/>
                <w:szCs w:val="20"/>
              </w:rPr>
              <w:t>Фасовка: не менее 1 х 5 мл.</w:t>
            </w:r>
          </w:p>
        </w:tc>
        <w:tc>
          <w:tcPr>
            <w:tcW w:w="567" w:type="dxa"/>
          </w:tcPr>
          <w:p w14:paraId="3311C06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425" w:type="dxa"/>
            <w:gridSpan w:val="2"/>
          </w:tcPr>
          <w:p w14:paraId="4B0EC7B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4C9B296C" w14:textId="77777777" w:rsidTr="002D73DE">
        <w:tc>
          <w:tcPr>
            <w:tcW w:w="567" w:type="dxa"/>
          </w:tcPr>
          <w:p w14:paraId="260A9D5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0043D87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Калибратор липидов (TruCal Lipid)</w:t>
            </w:r>
          </w:p>
        </w:tc>
        <w:tc>
          <w:tcPr>
            <w:tcW w:w="7661" w:type="dxa"/>
            <w:gridSpan w:val="3"/>
          </w:tcPr>
          <w:p w14:paraId="45D44BB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Лиофилизированный калибратор, изготовленный на основе человеческой плазмы. Предназначен для калибровки фотометрических систем при количественном определении Холестерина-ЛПВП, Холестерина-ЛПНП, свободных жирных кислот, фосфолипидов. Стабильность в невскрытых флаконах: до конца срока годности при температуре +2°С – +8°C. Стабильность после восстановления не менее: 30 дней при температуре -20 °С. Фасовка: не менее 3 флаконов по не менее 2 мл.</w:t>
            </w:r>
          </w:p>
        </w:tc>
        <w:tc>
          <w:tcPr>
            <w:tcW w:w="567" w:type="dxa"/>
          </w:tcPr>
          <w:p w14:paraId="7C694FF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6F2DD6E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4AF1C1CC" w14:textId="77777777" w:rsidTr="002D73DE">
        <w:tc>
          <w:tcPr>
            <w:tcW w:w="567" w:type="dxa"/>
          </w:tcPr>
          <w:p w14:paraId="779100A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10D3008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Контроль липидов (уровень 1)</w:t>
            </w:r>
          </w:p>
        </w:tc>
        <w:tc>
          <w:tcPr>
            <w:tcW w:w="7661" w:type="dxa"/>
            <w:gridSpan w:val="3"/>
          </w:tcPr>
          <w:p w14:paraId="09C715D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Специальный лиофилизированный контрольный материал, изготовленный на основе человеческой сыворотки и предназначенный для проведения внутрилабораторного контроля качества при определении Аполипопротеина А1, Аполипопротеина В, Холестерина, ЛПВП, ЛПНП, Свободных жирных кислот, Фосфолипидов, Триглицеридов на биохимических анализаторах. Значения аналитов в контрольной сыворотке уровня 1 соответствуют низким значениям. Стабильность в невскрытых флаконах: до конца срока годности при температуре +2°С – +8°C. Стабильность аналитов в растворенной контрольной сыворотке не менее 30 дней при -20°С (для Свободных жирных кислот не менее 7 дней при +2°С – +8°C). Фасовка: не менее 1 флакона по не менее 3 мл.</w:t>
            </w:r>
          </w:p>
        </w:tc>
        <w:tc>
          <w:tcPr>
            <w:tcW w:w="567" w:type="dxa"/>
          </w:tcPr>
          <w:p w14:paraId="359D2C0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69ADC88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53C9D4CE" w14:textId="77777777" w:rsidTr="002D73DE">
        <w:tc>
          <w:tcPr>
            <w:tcW w:w="567" w:type="dxa"/>
          </w:tcPr>
          <w:p w14:paraId="37A48D2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3EC79CB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Контроль липидов (уровень 2)</w:t>
            </w:r>
          </w:p>
        </w:tc>
        <w:tc>
          <w:tcPr>
            <w:tcW w:w="7661" w:type="dxa"/>
            <w:gridSpan w:val="3"/>
          </w:tcPr>
          <w:p w14:paraId="0AD3A48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Специальный лиофилизированный контрольный материал, изготовленный на основе человеческой сыворотки и предназначенный для проведения внутрилабораторного контроля качества при определении Аполипопротеина А1, Аполипопротеина В, Холестерина, ЛПВП, ЛПНП, Свободных жирных кислот, Фосфолипидов, Триглицеридов на биохимических анализаторах. Значения аналитов в контрольной сыворотке уровня 2 соответствуют высоким значениям. Стабильность в невскрытых флаконах: до конца срока годности при температуре +2°С – +8°C. Стабильность аналитов в растворенной контрольной сыворотке не менее 30 дней при -20°С (для Свободных жирных кислот не менее 7 дней при +2°С – +8°C). Фасовка: не менее 1 флакона по не менее 3 мл</w:t>
            </w:r>
          </w:p>
        </w:tc>
        <w:tc>
          <w:tcPr>
            <w:tcW w:w="567" w:type="dxa"/>
          </w:tcPr>
          <w:p w14:paraId="745C4BB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13D0FEC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500A8C3E" w14:textId="77777777" w:rsidTr="002D73DE">
        <w:tc>
          <w:tcPr>
            <w:tcW w:w="567" w:type="dxa"/>
          </w:tcPr>
          <w:p w14:paraId="00F5C08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6EE6A3E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Щелочной детергент 1 л (</w:t>
            </w:r>
            <w:r w:rsidRPr="002D73DE">
              <w:rPr>
                <w:color w:val="000000"/>
                <w:sz w:val="20"/>
                <w:szCs w:val="20"/>
                <w:lang w:val="en-US"/>
              </w:rPr>
              <w:t>URIT</w:t>
            </w:r>
            <w:r w:rsidRPr="002D73DE">
              <w:rPr>
                <w:color w:val="000000"/>
                <w:sz w:val="20"/>
                <w:szCs w:val="20"/>
              </w:rPr>
              <w:t>-</w:t>
            </w:r>
            <w:r w:rsidRPr="002D73DE">
              <w:rPr>
                <w:color w:val="000000"/>
                <w:sz w:val="20"/>
                <w:szCs w:val="20"/>
                <w:lang w:val="en-US"/>
              </w:rPr>
              <w:t>DC</w:t>
            </w:r>
            <w:r w:rsidRPr="002D73DE">
              <w:rPr>
                <w:color w:val="000000"/>
                <w:sz w:val="20"/>
                <w:szCs w:val="20"/>
              </w:rPr>
              <w:t xml:space="preserve">1 </w:t>
            </w:r>
            <w:r w:rsidRPr="002D73DE">
              <w:rPr>
                <w:color w:val="000000"/>
                <w:sz w:val="20"/>
                <w:szCs w:val="20"/>
                <w:lang w:val="en-US"/>
              </w:rPr>
              <w:t>Alkaline</w:t>
            </w:r>
            <w:r w:rsidRPr="002D73D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61" w:type="dxa"/>
            <w:gridSpan w:val="3"/>
          </w:tcPr>
          <w:p w14:paraId="212B822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Предназначен для очистки реакционных кювет на автоматических биохимических анализаторах.</w:t>
            </w:r>
            <w:r w:rsidRPr="002D73DE">
              <w:rPr>
                <w:color w:val="000000"/>
                <w:sz w:val="20"/>
                <w:szCs w:val="20"/>
              </w:rPr>
              <w:br/>
              <w:t>Совместимость с автоматическим биохимическим анализатором URIT-8280.</w:t>
            </w:r>
            <w:r w:rsidRPr="002D73DE">
              <w:rPr>
                <w:color w:val="000000"/>
                <w:sz w:val="20"/>
                <w:szCs w:val="20"/>
              </w:rPr>
              <w:br/>
              <w:t>Состав:</w:t>
            </w:r>
            <w:r w:rsidRPr="002D73DE">
              <w:rPr>
                <w:color w:val="000000"/>
                <w:sz w:val="20"/>
                <w:szCs w:val="20"/>
              </w:rPr>
              <w:br/>
              <w:t>Натрия гидроокись - &gt;1%;</w:t>
            </w:r>
            <w:r w:rsidRPr="002D73DE">
              <w:rPr>
                <w:color w:val="000000"/>
                <w:sz w:val="20"/>
                <w:szCs w:val="20"/>
              </w:rPr>
              <w:br/>
              <w:t>ПАВ - &gt;0,05%;</w:t>
            </w:r>
            <w:r w:rsidRPr="002D73DE">
              <w:rPr>
                <w:color w:val="000000"/>
                <w:sz w:val="20"/>
                <w:szCs w:val="20"/>
              </w:rPr>
              <w:br/>
              <w:t>Детергент - ≥0,05%;</w:t>
            </w:r>
            <w:r w:rsidRPr="002D73DE">
              <w:rPr>
                <w:color w:val="000000"/>
                <w:sz w:val="20"/>
                <w:szCs w:val="20"/>
              </w:rPr>
              <w:br/>
              <w:t>Вода очищенная - ≤98,9%. Комплектность: не менее 1 флакона объемом не менее 2 л.</w:t>
            </w:r>
            <w:r w:rsidRPr="002D73DE">
              <w:rPr>
                <w:color w:val="000000"/>
                <w:sz w:val="20"/>
                <w:szCs w:val="20"/>
              </w:rPr>
              <w:br/>
              <w:t>pH: 13,5.</w:t>
            </w:r>
            <w:r w:rsidRPr="002D73DE">
              <w:rPr>
                <w:color w:val="000000"/>
                <w:sz w:val="20"/>
                <w:szCs w:val="20"/>
              </w:rPr>
              <w:br/>
              <w:t>Расход: ≥3500 тестов.</w:t>
            </w:r>
            <w:r w:rsidRPr="002D73DE">
              <w:rPr>
                <w:color w:val="000000"/>
                <w:sz w:val="20"/>
                <w:szCs w:val="20"/>
              </w:rPr>
              <w:br/>
              <w:t>Стабильность после вскрытия 24 месяца при температуре +15-+25°C.</w:t>
            </w:r>
            <w:r w:rsidRPr="002D73DE">
              <w:rPr>
                <w:color w:val="000000"/>
                <w:sz w:val="20"/>
                <w:szCs w:val="20"/>
              </w:rPr>
              <w:br/>
              <w:t xml:space="preserve">Комплектность: флакон объемом 2 л; инструкция по применению, паспорт. </w:t>
            </w:r>
          </w:p>
          <w:p w14:paraId="1D2C18D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FC286D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 xml:space="preserve">Флакон </w:t>
            </w:r>
          </w:p>
        </w:tc>
        <w:tc>
          <w:tcPr>
            <w:tcW w:w="425" w:type="dxa"/>
            <w:gridSpan w:val="2"/>
          </w:tcPr>
          <w:p w14:paraId="24BBB48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7743EDF1" w14:textId="77777777" w:rsidTr="002D73DE">
        <w:tc>
          <w:tcPr>
            <w:tcW w:w="567" w:type="dxa"/>
          </w:tcPr>
          <w:p w14:paraId="3FB30C80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14:paraId="52F36C8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Набор реагентов для окраски гинекологических мазков по методу Папаниколау «Цито-ПАП»</w:t>
            </w:r>
          </w:p>
        </w:tc>
        <w:tc>
          <w:tcPr>
            <w:tcW w:w="7661" w:type="dxa"/>
            <w:gridSpan w:val="3"/>
          </w:tcPr>
          <w:p w14:paraId="5F96812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E6A64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4A854F6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4B5B66B3" w14:textId="77777777" w:rsidTr="002D73DE">
        <w:tc>
          <w:tcPr>
            <w:tcW w:w="567" w:type="dxa"/>
          </w:tcPr>
          <w:p w14:paraId="040C3A5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642755A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Диахим – гемистейн - РТЦ</w:t>
            </w:r>
          </w:p>
          <w:p w14:paraId="540DC20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61" w:type="dxa"/>
            <w:gridSpan w:val="3"/>
          </w:tcPr>
          <w:p w14:paraId="2ED988F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Краситель для окраски ретикулоцитов,предназначен для применения в качестве красителя ретикулоцитовсуправитальным пробирочным методом. Краситель представляет собой 1% раствор бриллиантовогокрезилового синего в физрастворе. Раствор готов к использованию.</w:t>
            </w:r>
          </w:p>
          <w:p w14:paraId="6A695B2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Не менее  50мл                                    (от 500 - до 2000 опр. )</w:t>
            </w:r>
          </w:p>
        </w:tc>
        <w:tc>
          <w:tcPr>
            <w:tcW w:w="567" w:type="dxa"/>
          </w:tcPr>
          <w:p w14:paraId="66DBC48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флакон</w:t>
            </w:r>
          </w:p>
        </w:tc>
        <w:tc>
          <w:tcPr>
            <w:tcW w:w="425" w:type="dxa"/>
            <w:gridSpan w:val="2"/>
            <w:vAlign w:val="bottom"/>
          </w:tcPr>
          <w:p w14:paraId="18107B6B" w14:textId="77777777" w:rsidR="002D73DE" w:rsidRPr="002D73DE" w:rsidRDefault="002D73DE" w:rsidP="002D73DE">
            <w:pPr>
              <w:widowControl/>
              <w:spacing w:line="240" w:lineRule="auto"/>
              <w:ind w:left="0" w:right="296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7E449179" w14:textId="77777777" w:rsidTr="002D73DE">
        <w:tc>
          <w:tcPr>
            <w:tcW w:w="567" w:type="dxa"/>
          </w:tcPr>
          <w:p w14:paraId="0C7FCF0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1E35E58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Набор для клинического анализа спинномозговой жидкости.</w:t>
            </w:r>
          </w:p>
        </w:tc>
        <w:tc>
          <w:tcPr>
            <w:tcW w:w="7661" w:type="dxa"/>
            <w:gridSpan w:val="3"/>
            <w:vAlign w:val="center"/>
          </w:tcPr>
          <w:p w14:paraId="14B36FC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Набор реагентов предназначен для определения цитоза, 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лабораториях.</w:t>
            </w:r>
          </w:p>
          <w:p w14:paraId="42D3987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Не менее 200 проб</w:t>
            </w:r>
          </w:p>
        </w:tc>
        <w:tc>
          <w:tcPr>
            <w:tcW w:w="567" w:type="dxa"/>
            <w:vAlign w:val="center"/>
          </w:tcPr>
          <w:p w14:paraId="4A8D7E3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  <w:vAlign w:val="center"/>
          </w:tcPr>
          <w:p w14:paraId="312F4A5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34E324A2" w14:textId="77777777" w:rsidTr="002D73DE">
        <w:tc>
          <w:tcPr>
            <w:tcW w:w="567" w:type="dxa"/>
          </w:tcPr>
          <w:p w14:paraId="278DB7E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02D611B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Сенсор глюкозы для анализаторов глюкозы серии «</w:t>
            </w:r>
            <w:r w:rsidRPr="002D73DE">
              <w:rPr>
                <w:sz w:val="20"/>
                <w:szCs w:val="20"/>
                <w:lang w:val="en-US"/>
              </w:rPr>
              <w:t>SuperGL</w:t>
            </w:r>
            <w:r w:rsidRPr="002D73DE">
              <w:rPr>
                <w:sz w:val="20"/>
                <w:szCs w:val="20"/>
              </w:rPr>
              <w:t>»</w:t>
            </w:r>
          </w:p>
        </w:tc>
        <w:tc>
          <w:tcPr>
            <w:tcW w:w="7661" w:type="dxa"/>
            <w:gridSpan w:val="3"/>
          </w:tcPr>
          <w:p w14:paraId="69731ED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Сенсор имеет корпус, внутри которого располагается пластина с ферментом (глюкозооксидаза). Диапазон измерения глюкозы 0,5-50,0 ммоль/л. Точность измерения 1,5%. Температура хранения +2 до +8°С. Срок хранения 18 мес. до 4-х месяцев работы</w:t>
            </w:r>
          </w:p>
        </w:tc>
        <w:tc>
          <w:tcPr>
            <w:tcW w:w="567" w:type="dxa"/>
          </w:tcPr>
          <w:p w14:paraId="00729A71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шт</w:t>
            </w:r>
          </w:p>
        </w:tc>
        <w:tc>
          <w:tcPr>
            <w:tcW w:w="425" w:type="dxa"/>
            <w:gridSpan w:val="2"/>
          </w:tcPr>
          <w:p w14:paraId="479B88F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3CB8FC02" w14:textId="77777777" w:rsidTr="002D73DE">
        <w:tc>
          <w:tcPr>
            <w:tcW w:w="567" w:type="dxa"/>
          </w:tcPr>
          <w:p w14:paraId="09012E2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0D55273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Системный гемолизирующий раствор для анализаторов глюкозы серии «</w:t>
            </w:r>
            <w:r w:rsidRPr="002D73DE">
              <w:rPr>
                <w:sz w:val="20"/>
                <w:szCs w:val="20"/>
                <w:lang w:val="en-US"/>
              </w:rPr>
              <w:t>SuperGL</w:t>
            </w:r>
            <w:r w:rsidRPr="002D73DE">
              <w:rPr>
                <w:sz w:val="20"/>
                <w:szCs w:val="20"/>
              </w:rPr>
              <w:t>»</w:t>
            </w:r>
          </w:p>
        </w:tc>
        <w:tc>
          <w:tcPr>
            <w:tcW w:w="7661" w:type="dxa"/>
            <w:gridSpan w:val="3"/>
          </w:tcPr>
          <w:p w14:paraId="16CE9C5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Раствор предназначен для обеспечения работы автоматических анализаторов серии </w:t>
            </w:r>
            <w:r w:rsidRPr="002D73DE">
              <w:rPr>
                <w:sz w:val="20"/>
                <w:szCs w:val="20"/>
                <w:lang w:val="en-US"/>
              </w:rPr>
              <w:t>SuperGL</w:t>
            </w:r>
            <w:r w:rsidRPr="002D73DE">
              <w:rPr>
                <w:sz w:val="20"/>
                <w:szCs w:val="20"/>
              </w:rPr>
              <w:t xml:space="preserve"> (</w:t>
            </w:r>
            <w:r w:rsidRPr="002D73DE">
              <w:rPr>
                <w:sz w:val="20"/>
                <w:szCs w:val="20"/>
                <w:lang w:val="en-US"/>
              </w:rPr>
              <w:t>Dr</w:t>
            </w:r>
            <w:r w:rsidRPr="002D73DE">
              <w:rPr>
                <w:sz w:val="20"/>
                <w:szCs w:val="20"/>
              </w:rPr>
              <w:t>.</w:t>
            </w:r>
            <w:r w:rsidRPr="002D73DE">
              <w:rPr>
                <w:sz w:val="20"/>
                <w:szCs w:val="20"/>
                <w:lang w:val="en-US"/>
              </w:rPr>
              <w:t>Muller</w:t>
            </w:r>
            <w:r w:rsidRPr="002D73DE">
              <w:rPr>
                <w:sz w:val="20"/>
                <w:szCs w:val="20"/>
              </w:rPr>
              <w:t xml:space="preserve">, </w:t>
            </w:r>
            <w:r w:rsidRPr="002D73DE">
              <w:rPr>
                <w:sz w:val="20"/>
                <w:szCs w:val="20"/>
                <w:lang w:val="en-US"/>
              </w:rPr>
              <w:t>GeratebauGmbh</w:t>
            </w:r>
            <w:r w:rsidRPr="002D73DE">
              <w:rPr>
                <w:sz w:val="20"/>
                <w:szCs w:val="20"/>
              </w:rPr>
              <w:t>, Германия): жидкостной промывки системы прибора, а также для разведения и гемолиза проб. Состав: раствор фосфата калия однозамещенного 10 ммоль/л, тритона Х 100 1% и бензойной кислоты 18 ммоль/л; рН 7,0±0,2. фасовка: реагент разлит во флаконы из белого непрозрачного пластика. Фла</w:t>
            </w:r>
            <w:r w:rsidRPr="002D73DE">
              <w:rPr>
                <w:sz w:val="20"/>
                <w:szCs w:val="20"/>
              </w:rPr>
              <w:lastRenderedPageBreak/>
              <w:t>кон закрыт завинчивающейся крышкой. Не менее 1000 мл</w:t>
            </w:r>
          </w:p>
        </w:tc>
        <w:tc>
          <w:tcPr>
            <w:tcW w:w="567" w:type="dxa"/>
          </w:tcPr>
          <w:p w14:paraId="0F51496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425" w:type="dxa"/>
            <w:gridSpan w:val="2"/>
          </w:tcPr>
          <w:p w14:paraId="3C7A591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6A0B2154" w14:textId="77777777" w:rsidTr="002D73DE">
        <w:tc>
          <w:tcPr>
            <w:tcW w:w="567" w:type="dxa"/>
          </w:tcPr>
          <w:p w14:paraId="1FA8B01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25785A9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Калибровочный раствор для анализаторов глюкозы серии «</w:t>
            </w:r>
            <w:r w:rsidRPr="002D73DE">
              <w:rPr>
                <w:sz w:val="20"/>
                <w:szCs w:val="20"/>
                <w:lang w:val="en-US"/>
              </w:rPr>
              <w:t>SuperGL</w:t>
            </w:r>
            <w:r w:rsidRPr="002D73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661" w:type="dxa"/>
            <w:gridSpan w:val="3"/>
          </w:tcPr>
          <w:p w14:paraId="1539275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Раствор предназначен для обеспечения калибровки автоматических анализаторов серии «</w:t>
            </w:r>
            <w:r w:rsidRPr="002D73DE">
              <w:rPr>
                <w:sz w:val="20"/>
                <w:szCs w:val="20"/>
                <w:lang w:val="en-US"/>
              </w:rPr>
              <w:t>SuperGL</w:t>
            </w:r>
            <w:r w:rsidRPr="002D73DE">
              <w:rPr>
                <w:sz w:val="20"/>
                <w:szCs w:val="20"/>
              </w:rPr>
              <w:t>». Состав: раствор глюкозы 12 ммоль/л и лактата 10 ммоль/л, разведенный в соотношении 1:50 системным гемолизирующим раствором «ДДС». Не менее 1фл*100мл</w:t>
            </w:r>
          </w:p>
        </w:tc>
        <w:tc>
          <w:tcPr>
            <w:tcW w:w="567" w:type="dxa"/>
          </w:tcPr>
          <w:p w14:paraId="4CA6A9B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30CAAAE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60B89363" w14:textId="77777777" w:rsidTr="002D73DE">
        <w:tc>
          <w:tcPr>
            <w:tcW w:w="567" w:type="dxa"/>
          </w:tcPr>
          <w:p w14:paraId="480A834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565C47D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Контрольные растворы для анализаторов глюкозы серии «</w:t>
            </w:r>
            <w:r w:rsidRPr="002D73DE">
              <w:rPr>
                <w:sz w:val="20"/>
                <w:szCs w:val="20"/>
                <w:lang w:val="en-US"/>
              </w:rPr>
              <w:t>Super</w:t>
            </w:r>
            <w:r w:rsidRPr="002D73DE">
              <w:rPr>
                <w:sz w:val="20"/>
                <w:szCs w:val="20"/>
              </w:rPr>
              <w:t xml:space="preserve"> </w:t>
            </w:r>
            <w:r w:rsidRPr="002D73DE">
              <w:rPr>
                <w:sz w:val="20"/>
                <w:szCs w:val="20"/>
                <w:lang w:val="en-US"/>
              </w:rPr>
              <w:t>GL</w:t>
            </w:r>
            <w:r w:rsidRPr="002D73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661" w:type="dxa"/>
            <w:gridSpan w:val="3"/>
          </w:tcPr>
          <w:p w14:paraId="2D3CCA4A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Раствор предназначен для обеспечения работы автоматических анализаторов серии </w:t>
            </w:r>
            <w:r w:rsidRPr="002D73DE">
              <w:rPr>
                <w:sz w:val="20"/>
                <w:szCs w:val="20"/>
                <w:lang w:val="en-US"/>
              </w:rPr>
              <w:t>Super</w:t>
            </w:r>
            <w:r w:rsidRPr="002D73DE">
              <w:rPr>
                <w:sz w:val="20"/>
                <w:szCs w:val="20"/>
              </w:rPr>
              <w:t xml:space="preserve"> </w:t>
            </w:r>
            <w:r w:rsidRPr="002D73DE">
              <w:rPr>
                <w:sz w:val="20"/>
                <w:szCs w:val="20"/>
                <w:lang w:val="en-US"/>
              </w:rPr>
              <w:t>GL</w:t>
            </w:r>
            <w:r w:rsidRPr="002D73DE">
              <w:rPr>
                <w:sz w:val="20"/>
                <w:szCs w:val="20"/>
              </w:rPr>
              <w:t xml:space="preserve"> (</w:t>
            </w:r>
            <w:r w:rsidRPr="002D73DE">
              <w:rPr>
                <w:sz w:val="20"/>
                <w:szCs w:val="20"/>
                <w:lang w:val="en-US"/>
              </w:rPr>
              <w:t>Dr</w:t>
            </w:r>
            <w:r w:rsidRPr="002D73DE">
              <w:rPr>
                <w:sz w:val="20"/>
                <w:szCs w:val="20"/>
              </w:rPr>
              <w:t>.</w:t>
            </w:r>
            <w:r w:rsidRPr="002D73DE">
              <w:rPr>
                <w:sz w:val="20"/>
                <w:szCs w:val="20"/>
                <w:lang w:val="en-US"/>
              </w:rPr>
              <w:t>Muller</w:t>
            </w:r>
            <w:r w:rsidRPr="002D73DE">
              <w:rPr>
                <w:sz w:val="20"/>
                <w:szCs w:val="20"/>
              </w:rPr>
              <w:t xml:space="preserve">, </w:t>
            </w:r>
            <w:r w:rsidRPr="002D73DE">
              <w:rPr>
                <w:sz w:val="20"/>
                <w:szCs w:val="20"/>
                <w:lang w:val="en-US"/>
              </w:rPr>
              <w:t>Geratebau</w:t>
            </w:r>
            <w:r w:rsidRPr="002D73DE">
              <w:rPr>
                <w:sz w:val="20"/>
                <w:szCs w:val="20"/>
              </w:rPr>
              <w:t xml:space="preserve"> </w:t>
            </w:r>
            <w:r w:rsidRPr="002D73DE">
              <w:rPr>
                <w:sz w:val="20"/>
                <w:szCs w:val="20"/>
                <w:lang w:val="en-US"/>
              </w:rPr>
              <w:t>Gmbh</w:t>
            </w:r>
            <w:r w:rsidRPr="002D73DE">
              <w:rPr>
                <w:sz w:val="20"/>
                <w:szCs w:val="20"/>
              </w:rPr>
              <w:t>, Германия): проверки точности и воспроизводимости результатов измерений количественного определения глюкозы и лактата в цельной крови, сыворотке (включая гемолизированные образцы) или плазме крови. Контрольный раствор №1 «ДДС» (раствор глюкозы, 4 ммоль/л и лактата, 2 ммоль/л, разведенный в соотношении 1:50 системным гемолизирующим раствором «ДДС»); контрольный раствор №2 «ДДС» (раствор глюкозы, 12 ммоль/л и лактата, 10 ммоль/л, разведенный в соотношении 1:50 системным гемолизирующим раствором «ДДС»); контрольный раствор №2 «ДДС» (раствор глюкозы, 30 ммоль/л и лактата, 25 ммоль/л, разведенный в соотношении 1:50 системным гемолизирующим раствором «ДДС»); Не менее 3фл по не менее 25 мл</w:t>
            </w:r>
          </w:p>
          <w:p w14:paraId="102941C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CDB21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425" w:type="dxa"/>
            <w:gridSpan w:val="2"/>
          </w:tcPr>
          <w:p w14:paraId="033699D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3797C78B" w14:textId="77777777" w:rsidTr="002D73DE">
        <w:tc>
          <w:tcPr>
            <w:tcW w:w="567" w:type="dxa"/>
          </w:tcPr>
          <w:p w14:paraId="23FB255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26</w:t>
            </w:r>
          </w:p>
          <w:p w14:paraId="74D46C6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041B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Эозин по Май-Грюнвальду</w:t>
            </w:r>
          </w:p>
        </w:tc>
        <w:tc>
          <w:tcPr>
            <w:tcW w:w="7661" w:type="dxa"/>
            <w:gridSpan w:val="3"/>
          </w:tcPr>
          <w:p w14:paraId="65F5618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В качестве красителя элементов крови.</w:t>
            </w:r>
          </w:p>
          <w:p w14:paraId="11ABF27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Состав: 0,25 %-ныйметанольный раствор смеси красителей метиленового синего, азура I и эозина, взятых в специально подобранном соотношении по спектральным признакам. Не менее 1 л</w:t>
            </w:r>
          </w:p>
        </w:tc>
        <w:tc>
          <w:tcPr>
            <w:tcW w:w="567" w:type="dxa"/>
            <w:vAlign w:val="bottom"/>
          </w:tcPr>
          <w:p w14:paraId="0C8127A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425" w:type="dxa"/>
            <w:gridSpan w:val="2"/>
            <w:vAlign w:val="bottom"/>
          </w:tcPr>
          <w:p w14:paraId="51DA1D0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5</w:t>
            </w:r>
          </w:p>
        </w:tc>
      </w:tr>
      <w:tr w:rsidR="002D73DE" w:rsidRPr="002D73DE" w14:paraId="0DA77AB2" w14:textId="77777777" w:rsidTr="002D73DE">
        <w:trPr>
          <w:gridAfter w:val="1"/>
          <w:wAfter w:w="27" w:type="dxa"/>
        </w:trPr>
        <w:tc>
          <w:tcPr>
            <w:tcW w:w="567" w:type="dxa"/>
          </w:tcPr>
          <w:p w14:paraId="54CEF5F6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22BECFB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Триглицериды</w:t>
            </w:r>
          </w:p>
        </w:tc>
        <w:tc>
          <w:tcPr>
            <w:tcW w:w="7661" w:type="dxa"/>
            <w:gridSpan w:val="3"/>
          </w:tcPr>
          <w:p w14:paraId="0D34325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Тест: Ферментативный фотометрический тест с глицерол-3-фосфатоксидазой, метод Триндера, конечная точка. Линейность в диапазоне не уже: 0,01 – 11,3 ммоль/л. Чувствительность не более: 0,01 ммоль/л. Жидкие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Наличие на флаконе штрих кода, который содержит информацию о типе реагента, номере лота, сроке годности.</w:t>
            </w:r>
          </w:p>
          <w:p w14:paraId="267B312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Количество определений:3590 Фасовка не менее: 612 мл.</w:t>
            </w:r>
          </w:p>
        </w:tc>
        <w:tc>
          <w:tcPr>
            <w:tcW w:w="567" w:type="dxa"/>
          </w:tcPr>
          <w:p w14:paraId="5F199C4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398" w:type="dxa"/>
          </w:tcPr>
          <w:p w14:paraId="748E2ED4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</w:t>
            </w:r>
          </w:p>
        </w:tc>
      </w:tr>
      <w:tr w:rsidR="002D73DE" w:rsidRPr="002D73DE" w14:paraId="3B878547" w14:textId="77777777" w:rsidTr="002D73DE">
        <w:trPr>
          <w:gridAfter w:val="2"/>
          <w:wAfter w:w="425" w:type="dxa"/>
        </w:trPr>
        <w:tc>
          <w:tcPr>
            <w:tcW w:w="567" w:type="dxa"/>
          </w:tcPr>
          <w:p w14:paraId="6D1AC5E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14:paraId="3727BE9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 xml:space="preserve">ЛПВП </w:t>
            </w:r>
          </w:p>
        </w:tc>
        <w:tc>
          <w:tcPr>
            <w:tcW w:w="7236" w:type="dxa"/>
            <w:gridSpan w:val="2"/>
          </w:tcPr>
          <w:p w14:paraId="0AC8326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Тест: прямой гомогенный без шага центрифугирования. Линейность в диапазоне не уже: 0,08–5,17 ммоль/л (сыворотка). Чувствительность не более: 0,08 ммоль/л (сыворотка).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+8°С. Наличие на флаконе штрих кода, который содержит информацию о типе реагента, номере лота, сроке годности. Фасовка не менее: 100 мл.</w:t>
            </w:r>
          </w:p>
          <w:p w14:paraId="3D434B9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 xml:space="preserve">Количество определений:325  </w:t>
            </w:r>
          </w:p>
        </w:tc>
        <w:tc>
          <w:tcPr>
            <w:tcW w:w="425" w:type="dxa"/>
          </w:tcPr>
          <w:p w14:paraId="59B7274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567" w:type="dxa"/>
          </w:tcPr>
          <w:p w14:paraId="626AF009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4</w:t>
            </w:r>
          </w:p>
        </w:tc>
      </w:tr>
      <w:tr w:rsidR="002D73DE" w:rsidRPr="002D73DE" w14:paraId="418CF7A3" w14:textId="77777777" w:rsidTr="002D73DE">
        <w:trPr>
          <w:gridAfter w:val="2"/>
          <w:wAfter w:w="425" w:type="dxa"/>
        </w:trPr>
        <w:tc>
          <w:tcPr>
            <w:tcW w:w="567" w:type="dxa"/>
          </w:tcPr>
          <w:p w14:paraId="5910BFD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729DA7FF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ЛПНП</w:t>
            </w:r>
          </w:p>
        </w:tc>
        <w:tc>
          <w:tcPr>
            <w:tcW w:w="7236" w:type="dxa"/>
            <w:gridSpan w:val="2"/>
          </w:tcPr>
          <w:p w14:paraId="2542E79C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Тест: прямой гомогенный без шага центрифугирования. Линейность в диапазоне не уже: 0,10 – 12,93 ммоль/л. Чувствительность не более: 0,10 ммоль/л.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+8°С. Наличие на флаконе штрих кода, который содержит информацию о типе реагента, номере лота, сроке годности. Фасовка не менее: 100 мл.</w:t>
            </w:r>
          </w:p>
          <w:p w14:paraId="12BC1CD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Количество определений:400</w:t>
            </w:r>
          </w:p>
        </w:tc>
        <w:tc>
          <w:tcPr>
            <w:tcW w:w="425" w:type="dxa"/>
          </w:tcPr>
          <w:p w14:paraId="55AA734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</w:tc>
        <w:tc>
          <w:tcPr>
            <w:tcW w:w="567" w:type="dxa"/>
          </w:tcPr>
          <w:p w14:paraId="0714BC6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4</w:t>
            </w:r>
          </w:p>
        </w:tc>
      </w:tr>
      <w:tr w:rsidR="002D73DE" w:rsidRPr="002D73DE" w14:paraId="4AEDB1DB" w14:textId="77777777" w:rsidTr="002D73DE">
        <w:tc>
          <w:tcPr>
            <w:tcW w:w="567" w:type="dxa"/>
          </w:tcPr>
          <w:p w14:paraId="58050CD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2D73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</w:tcPr>
          <w:p w14:paraId="54CA922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Пакет с растворами </w:t>
            </w:r>
          </w:p>
        </w:tc>
        <w:tc>
          <w:tcPr>
            <w:tcW w:w="7661" w:type="dxa"/>
            <w:gridSpan w:val="3"/>
          </w:tcPr>
          <w:p w14:paraId="7A55101E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Пакет с растворами предназначен для участия в операции калибровки и промывки. Обеспечивает хранение отходов, отработанных калибровочных и промывочных растворов, а также биологических жидкостей с помощью отдельной емкости. Не менее 800 мл.</w:t>
            </w:r>
          </w:p>
          <w:p w14:paraId="2C58531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377C343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шт</w:t>
            </w:r>
          </w:p>
        </w:tc>
        <w:tc>
          <w:tcPr>
            <w:tcW w:w="425" w:type="dxa"/>
            <w:gridSpan w:val="2"/>
          </w:tcPr>
          <w:p w14:paraId="348AC67E" w14:textId="77777777" w:rsidR="002D73DE" w:rsidRPr="002D73DE" w:rsidRDefault="002D73DE" w:rsidP="002D73DE">
            <w:pPr>
              <w:widowControl/>
              <w:spacing w:line="240" w:lineRule="auto"/>
              <w:ind w:left="0" w:right="2835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3453B992" w14:textId="77777777" w:rsidTr="002D73DE">
        <w:tc>
          <w:tcPr>
            <w:tcW w:w="567" w:type="dxa"/>
          </w:tcPr>
          <w:p w14:paraId="1BCCEF7C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31</w:t>
            </w:r>
          </w:p>
        </w:tc>
        <w:tc>
          <w:tcPr>
            <w:tcW w:w="2132" w:type="dxa"/>
            <w:gridSpan w:val="2"/>
          </w:tcPr>
          <w:p w14:paraId="200C221E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 xml:space="preserve">Прокальцитонин </w:t>
            </w:r>
          </w:p>
        </w:tc>
        <w:tc>
          <w:tcPr>
            <w:tcW w:w="7655" w:type="dxa"/>
            <w:gridSpan w:val="2"/>
          </w:tcPr>
          <w:p w14:paraId="0C85A9F9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color w:val="000000"/>
                <w:sz w:val="20"/>
                <w:szCs w:val="20"/>
              </w:rPr>
              <w:t>Назначение: для иммуноферментного определения концентрации прокальцитонина в сыворотке (плазме) крови человека. Метод трехстадийный без предварительной промывки планшет. Количество определений не менее 96 (не менее 48 в дублях), формат планшета: стрипированный, объем образца не более 20 мкл, диапазон измерений не менее чем от 0 до 12,8 нг/мл, чувствительность не более 0,04 нг/мл. Количество калибраторов не менее 6 шт. Рабочие растворы конъюгата и тетраметилбензидина жидкие, готовые, не требующие дополнительных разведений, стабильны на протяжении всего срока годности набора. Наличие: унифицированных неспецифических компонентов, планшета для предварительного разведения образцов, разовых емкостей для растворов, наконечников для пипеток, пленки для заклеивания планше</w:t>
            </w:r>
            <w:r w:rsidRPr="002D73DE">
              <w:rPr>
                <w:color w:val="000000"/>
                <w:sz w:val="20"/>
                <w:szCs w:val="20"/>
              </w:rPr>
              <w:lastRenderedPageBreak/>
              <w:t>та, трафарета для построения калибровочного графика.</w:t>
            </w:r>
          </w:p>
        </w:tc>
        <w:tc>
          <w:tcPr>
            <w:tcW w:w="567" w:type="dxa"/>
          </w:tcPr>
          <w:p w14:paraId="7ED67D76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lastRenderedPageBreak/>
              <w:t xml:space="preserve">упак </w:t>
            </w:r>
          </w:p>
        </w:tc>
        <w:tc>
          <w:tcPr>
            <w:tcW w:w="425" w:type="dxa"/>
            <w:gridSpan w:val="2"/>
          </w:tcPr>
          <w:p w14:paraId="05980711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1AF15F7E" w14:textId="77777777" w:rsidTr="002D73DE">
        <w:tc>
          <w:tcPr>
            <w:tcW w:w="567" w:type="dxa"/>
          </w:tcPr>
          <w:p w14:paraId="0B02D7D4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32</w:t>
            </w:r>
          </w:p>
        </w:tc>
        <w:tc>
          <w:tcPr>
            <w:tcW w:w="2132" w:type="dxa"/>
            <w:gridSpan w:val="2"/>
          </w:tcPr>
          <w:p w14:paraId="071EA5ED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Электрод pH д/анализаторов газов и электролитов крови модели EasyLyte</w:t>
            </w:r>
          </w:p>
        </w:tc>
        <w:tc>
          <w:tcPr>
            <w:tcW w:w="7655" w:type="dxa"/>
            <w:gridSpan w:val="2"/>
          </w:tcPr>
          <w:p w14:paraId="3DD03AA2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Электрод pH д/анализаторов газов и электролитов крови модели EasyLyte</w:t>
            </w:r>
          </w:p>
        </w:tc>
        <w:tc>
          <w:tcPr>
            <w:tcW w:w="567" w:type="dxa"/>
          </w:tcPr>
          <w:p w14:paraId="786621E7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шт</w:t>
            </w:r>
          </w:p>
        </w:tc>
        <w:tc>
          <w:tcPr>
            <w:tcW w:w="425" w:type="dxa"/>
            <w:gridSpan w:val="2"/>
          </w:tcPr>
          <w:p w14:paraId="012F9EF2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4F999673" w14:textId="77777777" w:rsidTr="002D73DE">
        <w:tc>
          <w:tcPr>
            <w:tcW w:w="567" w:type="dxa"/>
          </w:tcPr>
          <w:p w14:paraId="38E91361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33</w:t>
            </w:r>
          </w:p>
        </w:tc>
        <w:tc>
          <w:tcPr>
            <w:tcW w:w="2132" w:type="dxa"/>
            <w:gridSpan w:val="2"/>
          </w:tcPr>
          <w:p w14:paraId="609954D4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Комплект трубок для EasyLyte Calcium//Calcium Tubing Kit</w:t>
            </w:r>
          </w:p>
        </w:tc>
        <w:tc>
          <w:tcPr>
            <w:tcW w:w="7655" w:type="dxa"/>
            <w:gridSpan w:val="2"/>
          </w:tcPr>
          <w:p w14:paraId="7558306A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Комплект трубок для EasyLyte Calcium//Calcium Tubing Kit</w:t>
            </w:r>
          </w:p>
        </w:tc>
        <w:tc>
          <w:tcPr>
            <w:tcW w:w="567" w:type="dxa"/>
          </w:tcPr>
          <w:p w14:paraId="534645D2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шт</w:t>
            </w:r>
          </w:p>
        </w:tc>
        <w:tc>
          <w:tcPr>
            <w:tcW w:w="425" w:type="dxa"/>
            <w:gridSpan w:val="2"/>
          </w:tcPr>
          <w:p w14:paraId="49F1781C" w14:textId="77777777" w:rsidR="002D73DE" w:rsidRPr="002D73DE" w:rsidRDefault="002D73DE" w:rsidP="002D73DE">
            <w:pPr>
              <w:widowControl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</w:t>
            </w:r>
          </w:p>
        </w:tc>
      </w:tr>
      <w:tr w:rsidR="002D73DE" w:rsidRPr="002D73DE" w14:paraId="6109D25B" w14:textId="77777777" w:rsidTr="002D73DE">
        <w:tc>
          <w:tcPr>
            <w:tcW w:w="567" w:type="dxa"/>
          </w:tcPr>
          <w:p w14:paraId="522D902B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34</w:t>
            </w:r>
          </w:p>
        </w:tc>
        <w:tc>
          <w:tcPr>
            <w:tcW w:w="2132" w:type="dxa"/>
            <w:gridSpan w:val="2"/>
          </w:tcPr>
          <w:p w14:paraId="3900AC0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Кювета измерительная для коагулометров</w:t>
            </w:r>
          </w:p>
          <w:p w14:paraId="69D412F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07E8245D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Кювета для определения свертывающей системы. Предназначена для работы с коагулометром "КоаТест-4". Размеры: высота кюветы 23±0,2 мм, диаметр 11,3-14 мм. Упаковка 100 штук.</w:t>
            </w:r>
          </w:p>
          <w:p w14:paraId="6FC7B1B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Не менее 100шт/уп</w:t>
            </w:r>
          </w:p>
          <w:p w14:paraId="5AF9A09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35924B92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69F8E7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упак</w:t>
            </w:r>
          </w:p>
          <w:p w14:paraId="247EA018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8D07AF5" w14:textId="77777777" w:rsidR="002D73DE" w:rsidRPr="002D73DE" w:rsidRDefault="002D73DE" w:rsidP="002D73DE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D73DE">
              <w:rPr>
                <w:sz w:val="20"/>
                <w:szCs w:val="20"/>
              </w:rPr>
              <w:t>10</w:t>
            </w:r>
          </w:p>
        </w:tc>
      </w:tr>
    </w:tbl>
    <w:p w14:paraId="7E8A1060" w14:textId="6931B2F6" w:rsidR="00B927F7" w:rsidRDefault="00B927F7" w:rsidP="00465A78">
      <w:pPr>
        <w:ind w:left="0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95"/>
        <w:gridCol w:w="6444"/>
      </w:tblGrid>
      <w:tr w:rsidR="00E568CD" w:rsidRPr="00C51758" w14:paraId="44727F9B" w14:textId="77777777" w:rsidTr="002A6B2C">
        <w:trPr>
          <w:trHeight w:val="10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Default="00E568CD" w:rsidP="002A6B2C">
            <w:pPr>
              <w:contextualSpacing/>
              <w:jc w:val="center"/>
            </w:pPr>
          </w:p>
          <w:p w14:paraId="56691CE5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№ п\п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Данные закупки</w:t>
            </w:r>
          </w:p>
        </w:tc>
      </w:tr>
      <w:tr w:rsidR="00E568CD" w:rsidRPr="00C51758" w14:paraId="557018B4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C51758" w:rsidRDefault="00E568CD" w:rsidP="002A6B2C">
            <w:pPr>
              <w:contextualSpacing/>
            </w:pPr>
            <w:r w:rsidRPr="00C51758"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124AB99C" w:rsidR="00E568CD" w:rsidRPr="00BA5798" w:rsidRDefault="00F367D1" w:rsidP="002A6B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</w:t>
            </w:r>
            <w:r w:rsidR="00BA5798">
              <w:rPr>
                <w:sz w:val="22"/>
                <w:szCs w:val="22"/>
              </w:rPr>
              <w:t xml:space="preserve">реактивов для </w:t>
            </w:r>
            <w:r w:rsidR="00687095">
              <w:rPr>
                <w:sz w:val="22"/>
                <w:szCs w:val="22"/>
              </w:rPr>
              <w:t>клинико-диагностической лаборатории.</w:t>
            </w:r>
          </w:p>
        </w:tc>
      </w:tr>
      <w:tr w:rsidR="00E568CD" w:rsidRPr="00C51758" w14:paraId="130EA012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C51758" w:rsidRDefault="00E568CD" w:rsidP="002A6B2C">
            <w:pPr>
              <w:contextualSpacing/>
            </w:pPr>
            <w:r w:rsidRPr="00C51758"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C51758" w:rsidRDefault="00E568CD" w:rsidP="002A6B2C">
            <w:pPr>
              <w:contextualSpacing/>
            </w:pPr>
            <w:r w:rsidRPr="00C51758"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C51758" w:rsidRDefault="00E568CD" w:rsidP="002A6B2C">
            <w:pPr>
              <w:contextualSpacing/>
            </w:pPr>
            <w:r w:rsidRPr="00C51758"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C51758" w:rsidRDefault="00E568CD" w:rsidP="002A6B2C">
            <w:pPr>
              <w:contextualSpacing/>
            </w:pPr>
            <w:r w:rsidRPr="00C51758"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C51758" w:rsidRDefault="00E568CD" w:rsidP="002A6B2C">
            <w:pPr>
              <w:contextualSpacing/>
            </w:pPr>
            <w:r w:rsidRPr="00C51758">
              <w:t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C51758" w:rsidRDefault="00E568CD" w:rsidP="002A6B2C">
            <w:pPr>
              <w:contextualSpacing/>
            </w:pPr>
            <w:r w:rsidRPr="00C51758"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C51758" w:rsidRDefault="00E568CD" w:rsidP="002A6B2C">
            <w:pPr>
              <w:contextualSpacing/>
            </w:pPr>
            <w:r w:rsidRPr="00C51758"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C51758" w:rsidRDefault="00E568CD" w:rsidP="002A6B2C">
            <w:pPr>
              <w:contextualSpacing/>
            </w:pPr>
            <w:r w:rsidRPr="00C51758"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C51758" w:rsidRDefault="00E568CD" w:rsidP="002A6B2C">
            <w:pPr>
              <w:contextualSpacing/>
            </w:pPr>
            <w:r w:rsidRPr="00C51758"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C51758" w:rsidRDefault="00E568CD" w:rsidP="002A6B2C">
            <w:pPr>
              <w:contextualSpacing/>
            </w:pPr>
            <w:r w:rsidRPr="00C51758"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77777777" w:rsidR="00E568CD" w:rsidRPr="00C51758" w:rsidRDefault="00E568CD" w:rsidP="002A6B2C">
            <w:r w:rsidRPr="00C51758">
              <w:t>Индекс 420061, Республика Татарстан, г. Казань ул. Николая Ершова, д. 65</w:t>
            </w:r>
          </w:p>
        </w:tc>
      </w:tr>
      <w:tr w:rsidR="00E568CD" w:rsidRPr="00C51758" w14:paraId="71D745DF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C51758" w:rsidRDefault="00E568CD" w:rsidP="002A6B2C">
            <w:pPr>
              <w:contextualSpacing/>
              <w:jc w:val="center"/>
            </w:pPr>
            <w:r w:rsidRPr="00C51758"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C51758" w:rsidRDefault="00E568CD" w:rsidP="002A6B2C">
            <w:pPr>
              <w:contextualSpacing/>
            </w:pPr>
            <w:r w:rsidRPr="00C51758">
              <w:t>Сроки (периоды)  и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8AA" w14:textId="77777777" w:rsidR="00076FD6" w:rsidRDefault="00076FD6" w:rsidP="002A6B2C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76FD6">
              <w:rPr>
                <w:sz w:val="22"/>
                <w:szCs w:val="22"/>
                <w:lang w:eastAsia="ru-RU"/>
              </w:rPr>
              <w:t>Поставка осуществляется одной партией в течение 10 дней с момента подписания договора.</w:t>
            </w:r>
          </w:p>
          <w:p w14:paraId="2C728E97" w14:textId="27974A7E" w:rsidR="00E568CD" w:rsidRPr="00C51758" w:rsidRDefault="00E568CD" w:rsidP="002A6B2C">
            <w:pPr>
              <w:contextualSpacing/>
              <w:jc w:val="both"/>
              <w:rPr>
                <w:b/>
              </w:rPr>
            </w:pPr>
            <w:r w:rsidRPr="00C51758">
              <w:rPr>
                <w:b/>
                <w:bCs/>
              </w:rPr>
              <w:t xml:space="preserve">Заявка на Товар подается Покупателем в электронном виде посредством </w:t>
            </w:r>
            <w:r w:rsidRPr="00C51758">
              <w:rPr>
                <w:b/>
                <w:bCs/>
              </w:rPr>
              <w:lastRenderedPageBreak/>
              <w:t>автоматизированной системы заказов «Электронный ордер».</w:t>
            </w:r>
          </w:p>
          <w:p w14:paraId="41D50382" w14:textId="77777777" w:rsidR="00E568CD" w:rsidRPr="00C51758" w:rsidRDefault="00E568CD" w:rsidP="002A6B2C">
            <w:pPr>
              <w:contextualSpacing/>
            </w:pPr>
            <w:r w:rsidRPr="00C51758"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C51758" w:rsidRDefault="00E568CD" w:rsidP="002A6B2C">
            <w:pPr>
              <w:contextualSpacing/>
            </w:pPr>
            <w:r w:rsidRPr="00C51758">
              <w:t>Поставка товара должна осуществляться при наличии документов, удостоверяющих  качество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2A6B2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C51758" w:rsidRDefault="007464F6" w:rsidP="007464F6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C51758" w:rsidRDefault="007464F6" w:rsidP="007464F6">
            <w:pPr>
              <w:contextualSpacing/>
            </w:pPr>
            <w:r w:rsidRPr="00A804A1">
              <w:rPr>
                <w:sz w:val="20"/>
                <w:szCs w:val="20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C51758" w:rsidRDefault="007464F6" w:rsidP="007464F6">
            <w:r w:rsidRPr="00A804A1">
              <w:rPr>
                <w:sz w:val="20"/>
                <w:szCs w:val="20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7A"/>
    <w:rsid w:val="00076FD6"/>
    <w:rsid w:val="00214C7E"/>
    <w:rsid w:val="002D73DE"/>
    <w:rsid w:val="00465A78"/>
    <w:rsid w:val="005512C0"/>
    <w:rsid w:val="005B1773"/>
    <w:rsid w:val="00687095"/>
    <w:rsid w:val="007464F6"/>
    <w:rsid w:val="00792DEB"/>
    <w:rsid w:val="00A53839"/>
    <w:rsid w:val="00B927F7"/>
    <w:rsid w:val="00BA5798"/>
    <w:rsid w:val="00C916CC"/>
    <w:rsid w:val="00D0387A"/>
    <w:rsid w:val="00E568CD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39"/>
    <w:rsid w:val="00BA5798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2D73DE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14</cp:revision>
  <dcterms:created xsi:type="dcterms:W3CDTF">2024-07-16T12:15:00Z</dcterms:created>
  <dcterms:modified xsi:type="dcterms:W3CDTF">2024-11-26T13:34:00Z</dcterms:modified>
  <dc:language>ru-RU</dc:language>
</cp:coreProperties>
</file>