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17" w:rsidRDefault="009A3917">
      <w:pPr>
        <w:jc w:val="right"/>
        <w:rPr>
          <w:rFonts w:ascii="Times New Roman" w:hAnsi="Times New Roman"/>
          <w:sz w:val="28"/>
          <w:szCs w:val="28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ТЕХНИЧЕСКОЕ ЗАДАНИЕ</w:t>
      </w: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разработку дизайн-проекта интерьера</w:t>
      </w: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«Аптечный пункт»</w:t>
      </w: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ЧУЗ КБ «РЖД-Медицина» г. Тверь.</w:t>
      </w:r>
    </w:p>
    <w:p w:rsidR="009A3917" w:rsidRDefault="009A3917">
      <w:pPr>
        <w:jc w:val="center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Состав работ.</w:t>
      </w:r>
    </w:p>
    <w:p w:rsidR="009A3917" w:rsidRDefault="00972721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проведения работ: г. Тверь, ул. А. Степанова, д. 2А.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Дизайн-проект интерьера (далее – «Дизайн-проект») разрабатывается для объекта площадью __</w:t>
      </w:r>
      <w:r>
        <w:rPr>
          <w:rFonts w:ascii="Times New Roman" w:hAnsi="Times New Roman"/>
          <w:sz w:val="26"/>
          <w:szCs w:val="26"/>
          <w:u w:val="single"/>
        </w:rPr>
        <w:t>80,0</w:t>
      </w:r>
      <w:r>
        <w:rPr>
          <w:rFonts w:ascii="Times New Roman" w:hAnsi="Times New Roman"/>
          <w:sz w:val="26"/>
          <w:szCs w:val="26"/>
        </w:rPr>
        <w:t>__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, который состоит из __</w:t>
      </w: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</w:rPr>
        <w:t>__ функциональных зон: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холл (зона информации, гардероб, зона отдыха, тамбур) — 51,9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;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помещение аптечного пункта — 18,6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</w:p>
    <w:p w:rsidR="009A3917" w:rsidRDefault="009A3917">
      <w:pPr>
        <w:jc w:val="both"/>
        <w:rPr>
          <w:sz w:val="26"/>
          <w:szCs w:val="26"/>
          <w:vertAlign w:val="superscript"/>
        </w:rPr>
      </w:pP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Дизайн-проект должен способствовать организации единого пространства, обеспечивающего новый качественный эффективный уровень видения сети </w:t>
      </w:r>
      <w:proofErr w:type="spellStart"/>
      <w:r>
        <w:rPr>
          <w:rFonts w:ascii="Times New Roman" w:hAnsi="Times New Roman"/>
          <w:sz w:val="26"/>
          <w:szCs w:val="26"/>
        </w:rPr>
        <w:t>обьектов</w:t>
      </w:r>
      <w:proofErr w:type="spellEnd"/>
      <w:r>
        <w:rPr>
          <w:rFonts w:ascii="Times New Roman" w:hAnsi="Times New Roman"/>
          <w:sz w:val="26"/>
          <w:szCs w:val="26"/>
        </w:rPr>
        <w:t xml:space="preserve"> «РЖД-Медицины» и полностью соответствовать корпоративному стилю, согласно брендбуку (Приложение 1). При определении цветового решения интерьеров и оформления интерьера использовать корпоративный цвет, навигацию и айдентику, согласно требованиям.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Цели и задачи разработки дизайн-проекта.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Главной целью разработки дизайн-проекта является визуализация помещения аптечного пункта и холла стационара единым комплексом помещений в соответствии с настоящими требованиями. Данное пространство должно быть функциональным и соответствовать строительным, санитарным и противопожарным требованиям.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Для достижения этой цели необходимо разработать дизайн-проект с уровнем проработки, достаточным для последующей реализации на его основе проектно-сметной документации.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Дизайн-проект должен быть разработан в рамках единого стилистиче</w:t>
      </w:r>
      <w:r>
        <w:rPr>
          <w:rFonts w:ascii="Times New Roman" w:hAnsi="Times New Roman"/>
          <w:sz w:val="26"/>
          <w:szCs w:val="26"/>
        </w:rPr>
        <w:softHyphen/>
        <w:t>ского решения, учитывающего концепцию и фирменный стиль.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Состав дизайн-проекта и требование к его содержанию.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Дизайн-проект должен содержать информацию о стилевом направлении, о типе отделки и материалов, о меблировке, осветительных приборах и декорирования помещений. 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Дизайн-проект должен быть разработан и утверждён в 1 (одном) варианте стилевого решения интерьера.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Состав Дизайн-проекта и требования к его содержанию:</w:t>
      </w:r>
    </w:p>
    <w:p w:rsidR="009A3917" w:rsidRDefault="00972721">
      <w:pPr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"/>
        <w:gridCol w:w="2579"/>
        <w:gridCol w:w="6714"/>
      </w:tblGrid>
      <w:tr w:rsidR="009A3917" w:rsidTr="00093B3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 разделов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17" w:rsidRDefault="0097272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содержанию</w:t>
            </w:r>
          </w:p>
        </w:tc>
      </w:tr>
      <w:tr w:rsidR="009A3917" w:rsidTr="00093B3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Визуализация 3D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Изображения должны быть размером не менее 2500х1500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pix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(формат А3), разрешение 300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dpi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Изображение должно давать представление о стилевом направлении, об отделке каждого помещения, о возможной меблировке и вариантах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осветительных приборов, о цветовой гамме и декоративном оформлении интерьера, о навигации по отделам. Виды должны отображать наиболее интересные ракурсы, оригинальные детали отделки, а также отдельные функциональные зоны, экстерьер, удобство для посетителей и людей с ОВЗ.</w:t>
            </w:r>
          </w:p>
        </w:tc>
      </w:tr>
      <w:tr w:rsidR="009A3917" w:rsidTr="00093B3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Планы полов, потолков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Планы отделки полов и потолков разработать для всех помещений с указанием примерных отделочных материалов.</w:t>
            </w:r>
          </w:p>
        </w:tc>
      </w:tr>
      <w:tr w:rsidR="009A3917" w:rsidTr="00093B3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с расстановкой мебели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Планировочные решения с расстановкой мебели, техники, предметов интерьера, рабочего места фармацевта и санитарной зоны.</w:t>
            </w:r>
          </w:p>
        </w:tc>
      </w:tr>
      <w:tr w:rsidR="009A3917" w:rsidTr="00093B3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расстановки электрических розеток и выводов.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 в графическом редакторе; наглядно представляет расположение электрических розеток, а также интернет розеток; содержит обозначения, для какого оборудования, предназначения розеток.</w:t>
            </w:r>
          </w:p>
        </w:tc>
      </w:tr>
      <w:tr w:rsidR="009A3917" w:rsidTr="00093B3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расстановки светильников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 в графическом редакторе; наглядно представляет расположение светильников в каждой зоне; содержит обозначения, для какого вида работы/какой зоны предназначены светильники (рабочее освещение, подсветка витрин,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диммируемыи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̆ свет в зоне мультимедиа)</w:t>
            </w:r>
          </w:p>
        </w:tc>
      </w:tr>
      <w:tr w:rsidR="009A3917" w:rsidTr="00093B3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17" w:rsidRDefault="0097272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 применяемых материалов, композиционных приёмов, цветового и стилистического решения интерьера и их обоснование. Перечень отделочных материалов и элементов интерьера для согласования с Заказчиком. Рекомендации по реализации дизайн-концепции.</w:t>
            </w:r>
          </w:p>
        </w:tc>
      </w:tr>
    </w:tbl>
    <w:p w:rsidR="009A3917" w:rsidRDefault="00093B39">
      <w:pPr>
        <w:jc w:val="both"/>
        <w:rPr>
          <w:rFonts w:ascii="Times New Roman" w:hAnsi="Times New Roman"/>
        </w:rPr>
      </w:pPr>
      <w:r w:rsidRPr="00093B39">
        <w:rPr>
          <w:rFonts w:ascii="Times New Roman" w:hAnsi="Times New Roman"/>
        </w:rPr>
        <w:t xml:space="preserve">Особые условия 9.1 Дизайн-проект аптеки в соответствии с руководством по фирменному стилю Аптека сети «РЖД-Медицина». 10. Основные </w:t>
      </w:r>
      <w:proofErr w:type="spellStart"/>
      <w:r w:rsidRPr="00093B39">
        <w:rPr>
          <w:rFonts w:ascii="Times New Roman" w:hAnsi="Times New Roman"/>
        </w:rPr>
        <w:t>техникоэкономические</w:t>
      </w:r>
      <w:proofErr w:type="spellEnd"/>
      <w:r w:rsidRPr="00093B39">
        <w:rPr>
          <w:rFonts w:ascii="Times New Roman" w:hAnsi="Times New Roman"/>
        </w:rPr>
        <w:t xml:space="preserve"> показатели 10.1 Площадь 18,6 м2 10.2 </w:t>
      </w:r>
      <w:proofErr w:type="gramStart"/>
      <w:r w:rsidRPr="00093B39">
        <w:rPr>
          <w:rFonts w:ascii="Times New Roman" w:hAnsi="Times New Roman"/>
        </w:rPr>
        <w:t>Высота</w:t>
      </w:r>
      <w:proofErr w:type="gramEnd"/>
      <w:r w:rsidRPr="00093B39">
        <w:rPr>
          <w:rFonts w:ascii="Times New Roman" w:hAnsi="Times New Roman"/>
        </w:rPr>
        <w:t xml:space="preserve"> существующая 11. Основные требования к архитектурным решениям 11.1. Проектом предусмотреть один вариант планировочного решения помещения в существующих границах. 12. Основные требования к решениям и материалам 12.1 В соответствии с руководством по фирменному стилю Аптека сети «РЖД-Медицина». 13 Основные требования к инженерному, технологическому решению здания 13.1 Не требуется. 14. Исходные данные </w:t>
      </w:r>
      <w:proofErr w:type="gramStart"/>
      <w:r w:rsidRPr="00093B39">
        <w:rPr>
          <w:rFonts w:ascii="Times New Roman" w:hAnsi="Times New Roman"/>
        </w:rPr>
        <w:t>для проектирования</w:t>
      </w:r>
      <w:proofErr w:type="gramEnd"/>
      <w:r w:rsidRPr="00093B39">
        <w:rPr>
          <w:rFonts w:ascii="Times New Roman" w:hAnsi="Times New Roman"/>
        </w:rPr>
        <w:t xml:space="preserve"> предоставляемые Заказчиком 14.1. Выписка ЕГРН на объект 14.2. Технический паспорт на помещение 15. Сметная документация 15.1 Не разрабатывается. 16. Состав проекта 16.1. Проектная документация выдаётся в 3-х экземплярах на бумажном носителе, а также в электронном виде (формат ПДФ). 17. Условия проектирования 17.1. Заказчик предоставляет исходные данные, в полном объеме до начала проектирования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в Таблице № 1 состав разделов Дизайн-проекта может быть дополнен Исполнителем в зависимости от уровня сложности реализации проекта.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Требования к составу и отделке помещений.</w:t>
      </w:r>
      <w:bookmarkStart w:id="0" w:name="_GoBack"/>
      <w:bookmarkEnd w:id="0"/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Отделка помещений осуществляется с учётом наличия систем пожарной и охранной сигнализаций.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4.2. В отделке помещений должны использоваться материалы, имеющие сертификаты о пожарной безопасности.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Материалы, аксессуары и мебель должны быть доступными. Главный принцип – соответствие цены и качества материалов. 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Все окна внутри помещений оборудуются жалюзи или рулонными шторами.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Требования к помещениям.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Холл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Холл – </w:t>
      </w:r>
      <w:proofErr w:type="gramStart"/>
      <w:r>
        <w:rPr>
          <w:rFonts w:ascii="Times New Roman" w:hAnsi="Times New Roman"/>
          <w:sz w:val="26"/>
          <w:szCs w:val="26"/>
        </w:rPr>
        <w:t>первое помещение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в котором предусмотрена организация следующих зон: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Информационная зона, где </w:t>
      </w:r>
      <w:proofErr w:type="spellStart"/>
      <w:r>
        <w:rPr>
          <w:rFonts w:ascii="Times New Roman" w:hAnsi="Times New Roman"/>
          <w:sz w:val="26"/>
          <w:szCs w:val="26"/>
        </w:rPr>
        <w:t>расмещены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Стойка-ресепшн – рабочее место представителя охранной организации. Стойка должна быть разноуровневой, доступной для людей с ОВЗ. Стойка-ресепшн должна иметь закрывающиеся на ключ ящики для хранения ноутбука, канцелярских принадлежностей. Необходимы кресла, стулья или пуфы для посетителей.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Информационные стенды для пациентов и посетителей с информацией об услугах </w:t>
      </w:r>
      <w:proofErr w:type="spellStart"/>
      <w:r>
        <w:rPr>
          <w:rFonts w:ascii="Times New Roman" w:hAnsi="Times New Roman"/>
          <w:sz w:val="26"/>
          <w:szCs w:val="26"/>
        </w:rPr>
        <w:t>учереждения</w:t>
      </w:r>
      <w:proofErr w:type="spellEnd"/>
      <w:r>
        <w:rPr>
          <w:rFonts w:ascii="Times New Roman" w:hAnsi="Times New Roman"/>
          <w:sz w:val="26"/>
          <w:szCs w:val="26"/>
        </w:rPr>
        <w:t>, место, где могут оставить свои предложения и пожелания;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 Гардеробная зона.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Непосредственно гардероб для хранения верхней одежды посетителей </w:t>
      </w:r>
      <w:proofErr w:type="gramStart"/>
      <w:r>
        <w:rPr>
          <w:rFonts w:ascii="Times New Roman" w:hAnsi="Times New Roman"/>
          <w:sz w:val="26"/>
          <w:szCs w:val="26"/>
        </w:rPr>
        <w:t>и  размещена</w:t>
      </w:r>
      <w:proofErr w:type="gramEnd"/>
      <w:r>
        <w:rPr>
          <w:rFonts w:ascii="Times New Roman" w:hAnsi="Times New Roman"/>
          <w:sz w:val="26"/>
          <w:szCs w:val="26"/>
        </w:rPr>
        <w:t xml:space="preserve"> навигация, в том числе для лиц с ОВЗ. В гардеробной зоне предусмотреть вешалки для верхней одежды разного уровня (для взрослых и детей), зеркало. 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Требования к комплектности дизайн — проекта</w:t>
      </w: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формату отчетных материалов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Дизайн-проект должен быть представлен: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бумажном носителе в виде сброшюрованных буклетов на русском языке в формате А3/А4. Буклеты должны быть подписаны и переданы Заказчику в 1-м (одном) экземпляре;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электронном виде в редактируемом формате (.</w:t>
      </w:r>
      <w:proofErr w:type="spellStart"/>
      <w:r>
        <w:rPr>
          <w:rFonts w:ascii="Times New Roman" w:hAnsi="Times New Roman"/>
          <w:sz w:val="26"/>
          <w:szCs w:val="26"/>
        </w:rPr>
        <w:t>dwg</w:t>
      </w:r>
      <w:proofErr w:type="spellEnd"/>
      <w:r>
        <w:rPr>
          <w:rFonts w:ascii="Times New Roman" w:hAnsi="Times New Roman"/>
          <w:sz w:val="26"/>
          <w:szCs w:val="26"/>
        </w:rPr>
        <w:t xml:space="preserve"> и 3dsMax с текстурами);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 электронном виде в формате .</w:t>
      </w:r>
      <w:proofErr w:type="spellStart"/>
      <w:r>
        <w:rPr>
          <w:rFonts w:ascii="Times New Roman" w:hAnsi="Times New Roman"/>
          <w:sz w:val="26"/>
          <w:szCs w:val="26"/>
        </w:rPr>
        <w:t>jpg</w:t>
      </w:r>
      <w:proofErr w:type="spellEnd"/>
      <w:r>
        <w:rPr>
          <w:rFonts w:ascii="Times New Roman" w:hAnsi="Times New Roman"/>
          <w:sz w:val="26"/>
          <w:szCs w:val="26"/>
        </w:rPr>
        <w:t xml:space="preserve"> с приложением исходных фотоматериалов в формате .</w:t>
      </w:r>
      <w:proofErr w:type="spellStart"/>
      <w:r>
        <w:rPr>
          <w:rFonts w:ascii="Times New Roman" w:hAnsi="Times New Roman"/>
          <w:sz w:val="26"/>
          <w:szCs w:val="26"/>
        </w:rPr>
        <w:t>jpg</w:t>
      </w:r>
      <w:proofErr w:type="spellEnd"/>
      <w:r>
        <w:rPr>
          <w:rFonts w:ascii="Times New Roman" w:hAnsi="Times New Roman"/>
          <w:sz w:val="26"/>
          <w:szCs w:val="26"/>
        </w:rPr>
        <w:t xml:space="preserve"> (не менее 10 ракурсов).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 в электронном виде передаются на материальном носителе – </w:t>
      </w:r>
      <w:proofErr w:type="spellStart"/>
      <w:r>
        <w:rPr>
          <w:rFonts w:ascii="Times New Roman" w:hAnsi="Times New Roman"/>
          <w:sz w:val="26"/>
          <w:szCs w:val="26"/>
        </w:rPr>
        <w:t>флеш</w:t>
      </w:r>
      <w:proofErr w:type="spellEnd"/>
      <w:r>
        <w:rPr>
          <w:rFonts w:ascii="Times New Roman" w:hAnsi="Times New Roman"/>
          <w:sz w:val="26"/>
          <w:szCs w:val="26"/>
        </w:rPr>
        <w:t>-накопителе.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72721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Сроки выполнения Работ.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начала выполнения Работ – следующий рабочий день после подписания Сторонами Договора.</w:t>
      </w:r>
    </w:p>
    <w:p w:rsidR="009A3917" w:rsidRDefault="00972721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окончания выполнения Работ – не позднее </w:t>
      </w:r>
      <w:r w:rsidR="0036570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ноября 2024 г</w:t>
      </w:r>
    </w:p>
    <w:p w:rsidR="009A3917" w:rsidRDefault="009A3917">
      <w:pPr>
        <w:jc w:val="both"/>
        <w:rPr>
          <w:rFonts w:ascii="Times New Roman" w:hAnsi="Times New Roman"/>
          <w:sz w:val="26"/>
          <w:szCs w:val="26"/>
        </w:rPr>
      </w:pPr>
    </w:p>
    <w:p w:rsidR="009A3917" w:rsidRDefault="009A3917">
      <w:pPr>
        <w:jc w:val="both"/>
        <w:rPr>
          <w:rFonts w:ascii="Times New Roman" w:hAnsi="Times New Roman"/>
          <w:sz w:val="20"/>
          <w:szCs w:val="20"/>
        </w:rPr>
      </w:pPr>
    </w:p>
    <w:sectPr w:rsidR="009A3917">
      <w:footerReference w:type="default" r:id="rId6"/>
      <w:pgSz w:w="11906" w:h="16838"/>
      <w:pgMar w:top="1134" w:right="1134" w:bottom="1702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E9" w:rsidRDefault="007735E9">
      <w:r>
        <w:separator/>
      </w:r>
    </w:p>
  </w:endnote>
  <w:endnote w:type="continuationSeparator" w:id="0">
    <w:p w:rsidR="007735E9" w:rsidRDefault="0077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mpora LGC Un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PageNumWizard_FOOTER_Базовый3"/>
  <w:p w:rsidR="009A3917" w:rsidRDefault="00972721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E9" w:rsidRDefault="007735E9">
      <w:r>
        <w:separator/>
      </w:r>
    </w:p>
  </w:footnote>
  <w:footnote w:type="continuationSeparator" w:id="0">
    <w:p w:rsidR="007735E9" w:rsidRDefault="0077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917"/>
    <w:rsid w:val="00093B39"/>
    <w:rsid w:val="00365707"/>
    <w:rsid w:val="00686A8B"/>
    <w:rsid w:val="007735E9"/>
    <w:rsid w:val="00972721"/>
    <w:rsid w:val="009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E3B8"/>
  <w15:docId w15:val="{599B1C5E-5D34-480C-9201-4534D17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mpora LGC Uni" w:eastAsia="Tahoma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line number"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Экономист</cp:lastModifiedBy>
  <cp:revision>15</cp:revision>
  <cp:lastPrinted>2024-10-01T11:23:00Z</cp:lastPrinted>
  <dcterms:created xsi:type="dcterms:W3CDTF">2024-02-21T16:29:00Z</dcterms:created>
  <dcterms:modified xsi:type="dcterms:W3CDTF">2024-11-13T12:27:00Z</dcterms:modified>
  <dc:language>ru-RU</dc:language>
</cp:coreProperties>
</file>