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13" w:rsidRPr="00E85624" w:rsidRDefault="00032BA3" w:rsidP="00625DA5">
      <w:pPr>
        <w:jc w:val="center"/>
        <w:rPr>
          <w:rFonts w:eastAsiaTheme="minorHAnsi"/>
          <w:b/>
        </w:rPr>
      </w:pPr>
      <w:r w:rsidRPr="00E85624">
        <w:rPr>
          <w:rFonts w:eastAsiaTheme="minorHAnsi"/>
          <w:b/>
        </w:rPr>
        <w:t xml:space="preserve">Техническое задание </w:t>
      </w:r>
      <w:r w:rsidR="009C195D" w:rsidRPr="00E85624">
        <w:rPr>
          <w:rFonts w:eastAsiaTheme="minorHAnsi"/>
          <w:b/>
        </w:rPr>
        <w:t>на</w:t>
      </w:r>
      <w:r w:rsidRPr="00E85624">
        <w:rPr>
          <w:rFonts w:eastAsiaTheme="minorHAnsi"/>
          <w:b/>
        </w:rPr>
        <w:t xml:space="preserve"> закупк</w:t>
      </w:r>
      <w:r w:rsidR="009C195D" w:rsidRPr="00E85624">
        <w:rPr>
          <w:rFonts w:eastAsiaTheme="minorHAnsi"/>
          <w:b/>
        </w:rPr>
        <w:t xml:space="preserve">у </w:t>
      </w:r>
      <w:r w:rsidRPr="00E85624">
        <w:rPr>
          <w:rFonts w:eastAsiaTheme="minorHAnsi"/>
          <w:b/>
        </w:rPr>
        <w:t>№</w:t>
      </w:r>
      <w:r w:rsidR="006D0413" w:rsidRPr="00E85624">
        <w:rPr>
          <w:rFonts w:eastAsiaTheme="minorHAnsi"/>
          <w:b/>
        </w:rPr>
        <w:t>2406020</w:t>
      </w:r>
      <w:r w:rsidR="00E85624" w:rsidRPr="00E85624">
        <w:rPr>
          <w:rFonts w:eastAsiaTheme="minorHAnsi"/>
          <w:b/>
        </w:rPr>
        <w:t>5036</w:t>
      </w:r>
      <w:r w:rsidR="006D0413" w:rsidRPr="00E85624">
        <w:rPr>
          <w:rFonts w:eastAsiaTheme="minorHAnsi"/>
          <w:b/>
        </w:rPr>
        <w:t xml:space="preserve"> </w:t>
      </w:r>
    </w:p>
    <w:p w:rsidR="00E74C8A" w:rsidRDefault="00E74C8A" w:rsidP="00625DA5">
      <w:pPr>
        <w:jc w:val="center"/>
        <w:rPr>
          <w:rFonts w:eastAsiaTheme="minorHAnsi"/>
          <w:b/>
        </w:rPr>
      </w:pPr>
      <w:r>
        <w:rPr>
          <w:rFonts w:eastAsiaTheme="minorHAnsi"/>
          <w:b/>
        </w:rPr>
        <w:t>на поставку</w:t>
      </w:r>
      <w:r w:rsidRPr="00E74C8A">
        <w:rPr>
          <w:rFonts w:eastAsiaTheme="minorHAnsi"/>
          <w:b/>
        </w:rPr>
        <w:t xml:space="preserve"> реагентов для биохимического анализатора MIURA-200</w:t>
      </w:r>
    </w:p>
    <w:p w:rsidR="00625DA5" w:rsidRPr="00954CE2" w:rsidRDefault="00625DA5" w:rsidP="00625DA5">
      <w:pPr>
        <w:jc w:val="center"/>
        <w:rPr>
          <w:rFonts w:eastAsiaTheme="minorHAnsi"/>
          <w:b/>
        </w:rPr>
      </w:pPr>
      <w:r w:rsidRPr="00E74C8A">
        <w:rPr>
          <w:rFonts w:eastAsiaTheme="minorHAnsi"/>
          <w:b/>
        </w:rPr>
        <w:t xml:space="preserve">для нужд </w:t>
      </w:r>
      <w:r w:rsidRPr="00954CE2">
        <w:rPr>
          <w:rFonts w:eastAsiaTheme="minorHAnsi"/>
          <w:b/>
        </w:rPr>
        <w:t>ЧУЗ «Клиническая больница «РЖД-Медицина» г. Оренбург»</w:t>
      </w:r>
    </w:p>
    <w:p w:rsidR="00032BA3" w:rsidRPr="00954CE2" w:rsidRDefault="00032BA3" w:rsidP="00032BA3">
      <w:pPr>
        <w:jc w:val="center"/>
        <w:rPr>
          <w:rFonts w:eastAsia="Calibri"/>
          <w:b/>
          <w:lang w:eastAsia="ru-RU"/>
        </w:rPr>
      </w:pPr>
    </w:p>
    <w:tbl>
      <w:tblPr>
        <w:tblStyle w:val="a5"/>
        <w:tblW w:w="9958" w:type="dxa"/>
        <w:jc w:val="center"/>
        <w:tblLayout w:type="fixed"/>
        <w:tblLook w:val="01E0" w:firstRow="1" w:lastRow="1" w:firstColumn="1" w:lastColumn="1" w:noHBand="0" w:noVBand="0"/>
      </w:tblPr>
      <w:tblGrid>
        <w:gridCol w:w="623"/>
        <w:gridCol w:w="1924"/>
        <w:gridCol w:w="5812"/>
        <w:gridCol w:w="851"/>
        <w:gridCol w:w="748"/>
      </w:tblGrid>
      <w:tr w:rsidR="007E4DC1" w:rsidRPr="00C0148F" w:rsidTr="003A253B">
        <w:trPr>
          <w:jc w:val="center"/>
        </w:trPr>
        <w:tc>
          <w:tcPr>
            <w:tcW w:w="623" w:type="dxa"/>
            <w:shd w:val="clear" w:color="auto" w:fill="auto"/>
          </w:tcPr>
          <w:p w:rsidR="007E4DC1" w:rsidRPr="00C0148F" w:rsidRDefault="007E4DC1" w:rsidP="003A253B">
            <w:pPr>
              <w:jc w:val="center"/>
              <w:rPr>
                <w:b/>
                <w:sz w:val="20"/>
                <w:szCs w:val="20"/>
              </w:rPr>
            </w:pPr>
            <w:r w:rsidRPr="00C0148F">
              <w:rPr>
                <w:b/>
                <w:sz w:val="20"/>
                <w:szCs w:val="20"/>
              </w:rPr>
              <w:t>№ п/п</w:t>
            </w:r>
          </w:p>
        </w:tc>
        <w:tc>
          <w:tcPr>
            <w:tcW w:w="1924" w:type="dxa"/>
            <w:shd w:val="clear" w:color="auto" w:fill="auto"/>
          </w:tcPr>
          <w:p w:rsidR="007E4DC1" w:rsidRPr="00C0148F" w:rsidRDefault="007E4DC1" w:rsidP="003A253B">
            <w:pPr>
              <w:jc w:val="center"/>
              <w:rPr>
                <w:b/>
                <w:sz w:val="20"/>
                <w:szCs w:val="20"/>
              </w:rPr>
            </w:pPr>
            <w:r w:rsidRPr="00C0148F">
              <w:rPr>
                <w:b/>
                <w:sz w:val="20"/>
                <w:szCs w:val="20"/>
              </w:rPr>
              <w:t>Наименование товара</w:t>
            </w:r>
          </w:p>
        </w:tc>
        <w:tc>
          <w:tcPr>
            <w:tcW w:w="5812" w:type="dxa"/>
          </w:tcPr>
          <w:p w:rsidR="007E4DC1" w:rsidRPr="007E4DC1" w:rsidRDefault="007E4DC1" w:rsidP="003A253B">
            <w:pPr>
              <w:ind w:left="-121" w:right="-163"/>
              <w:jc w:val="center"/>
              <w:rPr>
                <w:b/>
                <w:sz w:val="20"/>
                <w:szCs w:val="20"/>
              </w:rPr>
            </w:pPr>
            <w:r w:rsidRPr="007E4DC1">
              <w:rPr>
                <w:b/>
                <w:sz w:val="20"/>
                <w:szCs w:val="20"/>
              </w:rPr>
              <w:t>Технические характеристики товара</w:t>
            </w:r>
          </w:p>
        </w:tc>
        <w:tc>
          <w:tcPr>
            <w:tcW w:w="851" w:type="dxa"/>
            <w:shd w:val="clear" w:color="auto" w:fill="auto"/>
          </w:tcPr>
          <w:p w:rsidR="007E4DC1" w:rsidRPr="00C0148F" w:rsidRDefault="007E4DC1" w:rsidP="003A253B">
            <w:pPr>
              <w:ind w:left="-121" w:right="-163"/>
              <w:jc w:val="center"/>
              <w:rPr>
                <w:b/>
                <w:sz w:val="20"/>
                <w:szCs w:val="20"/>
              </w:rPr>
            </w:pPr>
            <w:r w:rsidRPr="00C0148F">
              <w:rPr>
                <w:b/>
                <w:sz w:val="20"/>
                <w:szCs w:val="20"/>
              </w:rPr>
              <w:t>Ед. изм.</w:t>
            </w:r>
          </w:p>
        </w:tc>
        <w:tc>
          <w:tcPr>
            <w:tcW w:w="748" w:type="dxa"/>
            <w:shd w:val="clear" w:color="auto" w:fill="auto"/>
          </w:tcPr>
          <w:p w:rsidR="007E4DC1" w:rsidRPr="00C0148F" w:rsidRDefault="007E4DC1" w:rsidP="003A253B">
            <w:pPr>
              <w:jc w:val="center"/>
              <w:rPr>
                <w:b/>
                <w:sz w:val="20"/>
                <w:szCs w:val="20"/>
              </w:rPr>
            </w:pPr>
            <w:r w:rsidRPr="00C0148F">
              <w:rPr>
                <w:b/>
                <w:sz w:val="20"/>
                <w:szCs w:val="20"/>
              </w:rPr>
              <w:t>Кол-во</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 Глюкоза </w:t>
            </w:r>
            <w:r>
              <w:rPr>
                <w:rFonts w:eastAsia="Arial Cyr"/>
                <w:color w:val="000000"/>
                <w:sz w:val="22"/>
                <w:szCs w:val="22"/>
                <w:lang w:val="en-US" w:bidi="ar"/>
              </w:rPr>
              <w:t>GOD</w:t>
            </w:r>
            <w:r w:rsidRPr="00062303">
              <w:rPr>
                <w:rFonts w:eastAsia="Arial Cyr"/>
                <w:color w:val="000000"/>
                <w:sz w:val="22"/>
                <w:szCs w:val="22"/>
                <w:lang w:bidi="ar"/>
              </w:rPr>
              <w:t xml:space="preserve"> 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 xml:space="preserve">Назначение: для определения глюкозы в сыворотке, плазме крови и моче </w:t>
            </w:r>
            <w:proofErr w:type="spellStart"/>
            <w:r w:rsidRPr="00062303">
              <w:rPr>
                <w:rFonts w:eastAsia="SimSun"/>
                <w:color w:val="000000"/>
                <w:sz w:val="22"/>
                <w:szCs w:val="22"/>
                <w:lang w:bidi="ar"/>
              </w:rPr>
              <w:t>глюкозооксидазным</w:t>
            </w:r>
            <w:proofErr w:type="spellEnd"/>
            <w:r w:rsidRPr="00062303">
              <w:rPr>
                <w:rFonts w:eastAsia="SimSun"/>
                <w:color w:val="000000"/>
                <w:sz w:val="22"/>
                <w:szCs w:val="22"/>
                <w:lang w:bidi="ar"/>
              </w:rPr>
              <w:t xml:space="preserve"> (</w:t>
            </w:r>
            <w:r>
              <w:rPr>
                <w:rFonts w:eastAsia="SimSun"/>
                <w:color w:val="000000"/>
                <w:sz w:val="22"/>
                <w:szCs w:val="22"/>
                <w:lang w:val="en-US" w:bidi="ar"/>
              </w:rPr>
              <w:t>GOD</w:t>
            </w:r>
            <w:r w:rsidRPr="00062303">
              <w:rPr>
                <w:rFonts w:eastAsia="SimSun"/>
                <w:color w:val="000000"/>
                <w:sz w:val="22"/>
                <w:szCs w:val="22"/>
                <w:lang w:bidi="ar"/>
              </w:rPr>
              <w:t>-</w:t>
            </w:r>
            <w:r>
              <w:rPr>
                <w:rFonts w:eastAsia="SimSun"/>
                <w:color w:val="000000"/>
                <w:sz w:val="22"/>
                <w:szCs w:val="22"/>
                <w:lang w:val="en-US" w:bidi="ar"/>
              </w:rPr>
              <w:t>PAP</w:t>
            </w:r>
            <w:r w:rsidRPr="00062303">
              <w:rPr>
                <w:rFonts w:eastAsia="SimSun"/>
                <w:color w:val="000000"/>
                <w:sz w:val="22"/>
                <w:szCs w:val="22"/>
                <w:lang w:bidi="ar"/>
              </w:rPr>
              <w:t xml:space="preserve">) методом. Форма выпуска: жидкий </w:t>
            </w:r>
            <w:proofErr w:type="spellStart"/>
            <w:r w:rsidRPr="00062303">
              <w:rPr>
                <w:rFonts w:eastAsia="SimSun"/>
                <w:color w:val="000000"/>
                <w:sz w:val="22"/>
                <w:szCs w:val="22"/>
                <w:lang w:bidi="ar"/>
              </w:rPr>
              <w:t>монореагент</w:t>
            </w:r>
            <w:proofErr w:type="spellEnd"/>
            <w:r w:rsidRPr="00062303">
              <w:rPr>
                <w:rFonts w:eastAsia="SimSun"/>
                <w:color w:val="000000"/>
                <w:sz w:val="22"/>
                <w:szCs w:val="22"/>
                <w:lang w:bidi="ar"/>
              </w:rPr>
              <w:t xml:space="preserve"> в картриджах для анализаторов </w:t>
            </w:r>
            <w:r>
              <w:rPr>
                <w:rFonts w:eastAsia="SimSun"/>
                <w:color w:val="000000"/>
                <w:sz w:val="22"/>
                <w:szCs w:val="22"/>
                <w:lang w:val="en-US" w:bidi="ar"/>
              </w:rPr>
              <w:t>MIURA</w:t>
            </w:r>
            <w:r w:rsidRPr="00062303">
              <w:rPr>
                <w:rFonts w:eastAsia="SimSun"/>
                <w:color w:val="000000"/>
                <w:sz w:val="22"/>
                <w:szCs w:val="22"/>
                <w:lang w:bidi="ar"/>
              </w:rPr>
              <w:t xml:space="preserve">. Объем: не менее 5х50 мл. Линейность в диапазоне от не более  0,7 до не менее 30 </w:t>
            </w:r>
            <w:proofErr w:type="spellStart"/>
            <w:r w:rsidRPr="00062303">
              <w:rPr>
                <w:rFonts w:eastAsia="SimSun"/>
                <w:color w:val="000000"/>
                <w:sz w:val="22"/>
                <w:szCs w:val="22"/>
                <w:lang w:bidi="ar"/>
              </w:rPr>
              <w:t>ммоль</w:t>
            </w:r>
            <w:proofErr w:type="spellEnd"/>
            <w:r w:rsidRPr="00062303">
              <w:rPr>
                <w:rFonts w:eastAsia="SimSun"/>
                <w:color w:val="000000"/>
                <w:sz w:val="22"/>
                <w:szCs w:val="22"/>
                <w:lang w:bidi="ar"/>
              </w:rPr>
              <w:t>/л. Стабильность реагента после вскрытия в течение всего срока годности при температуре от 2 до 8 °С.</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2</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2</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 Белок общий 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 xml:space="preserve">Назначение: для определения концентрации общего белка в сыворотке и плазме крови колориметрическим </w:t>
            </w:r>
            <w:proofErr w:type="spellStart"/>
            <w:r w:rsidRPr="00062303">
              <w:rPr>
                <w:rFonts w:eastAsia="SimSun"/>
                <w:color w:val="000000"/>
                <w:sz w:val="22"/>
                <w:szCs w:val="22"/>
                <w:lang w:bidi="ar"/>
              </w:rPr>
              <w:t>биуретовым</w:t>
            </w:r>
            <w:proofErr w:type="spellEnd"/>
            <w:r w:rsidRPr="00062303">
              <w:rPr>
                <w:rFonts w:eastAsia="SimSun"/>
                <w:color w:val="000000"/>
                <w:sz w:val="22"/>
                <w:szCs w:val="22"/>
                <w:lang w:bidi="ar"/>
              </w:rPr>
              <w:t xml:space="preserve"> методом. Форма выпуска: жидкий </w:t>
            </w:r>
            <w:proofErr w:type="spellStart"/>
            <w:r w:rsidRPr="00062303">
              <w:rPr>
                <w:rFonts w:eastAsia="SimSun"/>
                <w:color w:val="000000"/>
                <w:sz w:val="22"/>
                <w:szCs w:val="22"/>
                <w:lang w:bidi="ar"/>
              </w:rPr>
              <w:t>монореагент</w:t>
            </w:r>
            <w:proofErr w:type="spellEnd"/>
            <w:r w:rsidRPr="00062303">
              <w:rPr>
                <w:rFonts w:eastAsia="SimSun"/>
                <w:color w:val="000000"/>
                <w:sz w:val="22"/>
                <w:szCs w:val="22"/>
                <w:lang w:bidi="ar"/>
              </w:rPr>
              <w:t xml:space="preserve"> в картриджах для анализаторов </w:t>
            </w:r>
            <w:r>
              <w:rPr>
                <w:rFonts w:eastAsia="SimSun"/>
                <w:color w:val="000000"/>
                <w:sz w:val="22"/>
                <w:szCs w:val="22"/>
                <w:lang w:val="en-US" w:bidi="ar"/>
              </w:rPr>
              <w:t>MIURA</w:t>
            </w:r>
            <w:r w:rsidRPr="00062303">
              <w:rPr>
                <w:rFonts w:eastAsia="SimSun"/>
                <w:color w:val="000000"/>
                <w:sz w:val="22"/>
                <w:szCs w:val="22"/>
                <w:lang w:bidi="ar"/>
              </w:rPr>
              <w:t>. Объем: не менее 5х50 мл. Линейность в диапазоне от не более  10 до не менее 120 г/л. Стабильность реагентов  после вскрытия флаконов в течение не менее 12 мес. при температуре от 2 до 8 °С.</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2</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3</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Триглицериды 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Назначение: для определения концентрации триглицеридов в сыворотке и плазме крови ферментативным колориметрическим методом (</w:t>
            </w:r>
            <w:r>
              <w:rPr>
                <w:rFonts w:eastAsia="SimSun"/>
                <w:color w:val="000000"/>
                <w:sz w:val="22"/>
                <w:szCs w:val="22"/>
                <w:lang w:val="en-US" w:bidi="ar"/>
              </w:rPr>
              <w:t>GPO</w:t>
            </w:r>
            <w:r w:rsidRPr="00062303">
              <w:rPr>
                <w:rFonts w:eastAsia="SimSun"/>
                <w:color w:val="000000"/>
                <w:sz w:val="22"/>
                <w:szCs w:val="22"/>
                <w:lang w:bidi="ar"/>
              </w:rPr>
              <w:t>-</w:t>
            </w:r>
            <w:r>
              <w:rPr>
                <w:rFonts w:eastAsia="SimSun"/>
                <w:color w:val="000000"/>
                <w:sz w:val="22"/>
                <w:szCs w:val="22"/>
                <w:lang w:val="en-US" w:bidi="ar"/>
              </w:rPr>
              <w:t>PAP</w:t>
            </w:r>
            <w:proofErr w:type="gramStart"/>
            <w:r w:rsidRPr="00062303">
              <w:rPr>
                <w:rFonts w:eastAsia="SimSun"/>
                <w:color w:val="000000"/>
                <w:sz w:val="22"/>
                <w:szCs w:val="22"/>
                <w:lang w:bidi="ar"/>
              </w:rPr>
              <w:t>).Форма</w:t>
            </w:r>
            <w:proofErr w:type="gramEnd"/>
            <w:r w:rsidRPr="00062303">
              <w:rPr>
                <w:rFonts w:eastAsia="SimSun"/>
                <w:color w:val="000000"/>
                <w:sz w:val="22"/>
                <w:szCs w:val="22"/>
                <w:lang w:bidi="ar"/>
              </w:rPr>
              <w:t xml:space="preserve"> выпуска: жидкий </w:t>
            </w:r>
            <w:proofErr w:type="spellStart"/>
            <w:r w:rsidRPr="00062303">
              <w:rPr>
                <w:rFonts w:eastAsia="SimSun"/>
                <w:color w:val="000000"/>
                <w:sz w:val="22"/>
                <w:szCs w:val="22"/>
                <w:lang w:bidi="ar"/>
              </w:rPr>
              <w:t>монореагент</w:t>
            </w:r>
            <w:proofErr w:type="spellEnd"/>
            <w:r w:rsidRPr="00062303">
              <w:rPr>
                <w:rFonts w:eastAsia="SimSun"/>
                <w:color w:val="000000"/>
                <w:sz w:val="22"/>
                <w:szCs w:val="22"/>
                <w:lang w:bidi="ar"/>
              </w:rPr>
              <w:t xml:space="preserve"> в картриджах для анализаторов </w:t>
            </w:r>
            <w:r>
              <w:rPr>
                <w:rFonts w:eastAsia="SimSun"/>
                <w:color w:val="000000"/>
                <w:sz w:val="22"/>
                <w:szCs w:val="22"/>
                <w:lang w:val="en-US" w:bidi="ar"/>
              </w:rPr>
              <w:t>MIURA</w:t>
            </w:r>
            <w:r w:rsidRPr="00062303">
              <w:rPr>
                <w:rFonts w:eastAsia="SimSun"/>
                <w:color w:val="000000"/>
                <w:sz w:val="22"/>
                <w:szCs w:val="22"/>
                <w:lang w:bidi="ar"/>
              </w:rPr>
              <w:t xml:space="preserve">. Объем: не менее 5х50 мл. Линейность в диапазоне от не более 1,0 до не менее 11,4 </w:t>
            </w:r>
            <w:proofErr w:type="spellStart"/>
            <w:r w:rsidRPr="00062303">
              <w:rPr>
                <w:rFonts w:eastAsia="SimSun"/>
                <w:color w:val="000000"/>
                <w:sz w:val="22"/>
                <w:szCs w:val="22"/>
                <w:lang w:bidi="ar"/>
              </w:rPr>
              <w:t>ммоль</w:t>
            </w:r>
            <w:proofErr w:type="spellEnd"/>
            <w:r w:rsidRPr="00062303">
              <w:rPr>
                <w:rFonts w:eastAsia="SimSun"/>
                <w:color w:val="000000"/>
                <w:sz w:val="22"/>
                <w:szCs w:val="22"/>
                <w:lang w:bidi="ar"/>
              </w:rPr>
              <w:t>/л. Стабильность реагентов  после вскрытия флаконов в течение всего срока годности при температуре от 2 до 8 °С.</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4</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4</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rFonts w:eastAsia="SimSun"/>
                <w:color w:val="000000"/>
                <w:sz w:val="22"/>
                <w:szCs w:val="22"/>
                <w:lang w:bidi="ar"/>
              </w:rPr>
            </w:pPr>
            <w:r>
              <w:rPr>
                <w:rFonts w:eastAsia="SimSun"/>
                <w:color w:val="000000"/>
                <w:sz w:val="22"/>
                <w:szCs w:val="22"/>
                <w:lang w:bidi="ar"/>
              </w:rPr>
              <w:t>Набор реагентов для определения ЛВП-холестерина</w:t>
            </w:r>
          </w:p>
          <w:p w:rsidR="0017546E" w:rsidRDefault="0017546E" w:rsidP="003A253B">
            <w:pPr>
              <w:textAlignment w:val="center"/>
              <w:rPr>
                <w:rFonts w:eastAsia="SimSun"/>
                <w:color w:val="000000"/>
                <w:sz w:val="22"/>
                <w:szCs w:val="22"/>
                <w:lang w:bidi="ar"/>
              </w:rPr>
            </w:pPr>
            <w:r>
              <w:rPr>
                <w:rFonts w:eastAsia="SimSun"/>
                <w:color w:val="000000"/>
                <w:sz w:val="22"/>
                <w:szCs w:val="22"/>
              </w:rPr>
              <w:t>для автоматического анализатора MIURA</w:t>
            </w:r>
          </w:p>
        </w:tc>
        <w:tc>
          <w:tcPr>
            <w:tcW w:w="5812" w:type="dxa"/>
          </w:tcPr>
          <w:p w:rsidR="0017546E" w:rsidRDefault="0017546E" w:rsidP="003A253B">
            <w:pPr>
              <w:textAlignment w:val="top"/>
              <w:rPr>
                <w:color w:val="000000"/>
                <w:sz w:val="22"/>
                <w:szCs w:val="22"/>
              </w:rPr>
            </w:pPr>
            <w:r>
              <w:rPr>
                <w:rFonts w:eastAsia="SimSun"/>
                <w:color w:val="000000"/>
                <w:sz w:val="22"/>
                <w:szCs w:val="22"/>
                <w:lang w:bidi="ar"/>
              </w:rPr>
              <w:t xml:space="preserve">Назначение: для определения ЛВП-холестерина в сыворотке и плазме крови методом осаждения </w:t>
            </w:r>
            <w:proofErr w:type="spellStart"/>
            <w:r>
              <w:rPr>
                <w:rFonts w:eastAsia="SimSun"/>
                <w:color w:val="000000"/>
                <w:sz w:val="22"/>
                <w:szCs w:val="22"/>
                <w:lang w:bidi="ar"/>
              </w:rPr>
              <w:t>фосфорновольфрамовой</w:t>
            </w:r>
            <w:proofErr w:type="spellEnd"/>
            <w:r>
              <w:rPr>
                <w:rFonts w:eastAsia="SimSun"/>
                <w:color w:val="000000"/>
                <w:sz w:val="22"/>
                <w:szCs w:val="22"/>
                <w:lang w:bidi="ar"/>
              </w:rPr>
              <w:t xml:space="preserve"> кислотой с магнием хлористым. Форма выпуска: жидкий </w:t>
            </w:r>
            <w:proofErr w:type="spellStart"/>
            <w:r>
              <w:rPr>
                <w:rFonts w:eastAsia="SimSun"/>
                <w:color w:val="000000"/>
                <w:sz w:val="22"/>
                <w:szCs w:val="22"/>
                <w:lang w:bidi="ar"/>
              </w:rPr>
              <w:t>монореагент</w:t>
            </w:r>
            <w:proofErr w:type="spellEnd"/>
            <w:r>
              <w:rPr>
                <w:rFonts w:eastAsia="SimSun"/>
                <w:color w:val="000000"/>
                <w:sz w:val="22"/>
                <w:szCs w:val="22"/>
                <w:lang w:bidi="ar"/>
              </w:rPr>
              <w:t xml:space="preserve">. Объем реагента: не </w:t>
            </w:r>
            <w:proofErr w:type="gramStart"/>
            <w:r>
              <w:rPr>
                <w:rFonts w:eastAsia="SimSun"/>
                <w:color w:val="000000"/>
                <w:sz w:val="22"/>
                <w:szCs w:val="22"/>
                <w:lang w:bidi="ar"/>
              </w:rPr>
              <w:t>менее  1</w:t>
            </w:r>
            <w:proofErr w:type="gramEnd"/>
            <w:r>
              <w:rPr>
                <w:rFonts w:eastAsia="SimSun"/>
                <w:color w:val="000000"/>
                <w:sz w:val="22"/>
                <w:szCs w:val="22"/>
                <w:lang w:bidi="ar"/>
              </w:rPr>
              <w:t xml:space="preserve">х100 мл. </w:t>
            </w:r>
            <w:proofErr w:type="gramStart"/>
            <w:r>
              <w:rPr>
                <w:rFonts w:eastAsia="SimSun"/>
                <w:color w:val="000000"/>
                <w:sz w:val="22"/>
                <w:szCs w:val="22"/>
                <w:lang w:bidi="ar"/>
              </w:rPr>
              <w:t>Линейность  в</w:t>
            </w:r>
            <w:proofErr w:type="gramEnd"/>
            <w:r>
              <w:rPr>
                <w:rFonts w:eastAsia="SimSun"/>
                <w:color w:val="000000"/>
                <w:sz w:val="22"/>
                <w:szCs w:val="22"/>
                <w:lang w:bidi="ar"/>
              </w:rPr>
              <w:t xml:space="preserve"> диапазоне от не более  0,7 до не менее 3,0 </w:t>
            </w:r>
            <w:proofErr w:type="spellStart"/>
            <w:r>
              <w:rPr>
                <w:rFonts w:eastAsia="SimSun"/>
                <w:color w:val="000000"/>
                <w:sz w:val="22"/>
                <w:szCs w:val="22"/>
                <w:lang w:bidi="ar"/>
              </w:rPr>
              <w:t>ммоль</w:t>
            </w:r>
            <w:proofErr w:type="spellEnd"/>
            <w:r>
              <w:rPr>
                <w:rFonts w:eastAsia="SimSun"/>
                <w:color w:val="000000"/>
                <w:sz w:val="22"/>
                <w:szCs w:val="22"/>
                <w:lang w:bidi="ar"/>
              </w:rPr>
              <w:t xml:space="preserve">/л. Наличие калибратора. Стабильность реагента после вскрытия флакона на протяжении всего срока годности. </w:t>
            </w:r>
            <w:r>
              <w:rPr>
                <w:rFonts w:eastAsia="SimSun"/>
                <w:color w:val="000000"/>
                <w:sz w:val="22"/>
                <w:szCs w:val="22"/>
                <w:lang w:val="en-US" w:bidi="ar"/>
              </w:rPr>
              <w:t>(18-25°C).</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24</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5</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 АЛТ </w:t>
            </w:r>
            <w:r>
              <w:rPr>
                <w:rFonts w:eastAsia="Arial Cyr"/>
                <w:color w:val="000000"/>
                <w:sz w:val="22"/>
                <w:szCs w:val="22"/>
                <w:lang w:val="en-US" w:bidi="ar"/>
              </w:rPr>
              <w:t>IFCC</w:t>
            </w:r>
            <w:r w:rsidRPr="00062303">
              <w:rPr>
                <w:rFonts w:eastAsia="Arial Cyr"/>
                <w:color w:val="000000"/>
                <w:sz w:val="22"/>
                <w:szCs w:val="22"/>
                <w:lang w:bidi="ar"/>
              </w:rPr>
              <w:t xml:space="preserve"> 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 xml:space="preserve">Назначение: для определения активности </w:t>
            </w:r>
            <w:proofErr w:type="spellStart"/>
            <w:r w:rsidRPr="00062303">
              <w:rPr>
                <w:rFonts w:eastAsia="SimSun"/>
                <w:color w:val="000000"/>
                <w:sz w:val="22"/>
                <w:szCs w:val="22"/>
                <w:lang w:bidi="ar"/>
              </w:rPr>
              <w:t>аланинаминотрансферазы</w:t>
            </w:r>
            <w:proofErr w:type="spellEnd"/>
            <w:r w:rsidRPr="00062303">
              <w:rPr>
                <w:rFonts w:eastAsia="SimSun"/>
                <w:color w:val="000000"/>
                <w:sz w:val="22"/>
                <w:szCs w:val="22"/>
                <w:lang w:bidi="ar"/>
              </w:rPr>
              <w:t xml:space="preserve"> в сыворотке и плазме крови УФ кинетическим методом без </w:t>
            </w:r>
            <w:proofErr w:type="spellStart"/>
            <w:r w:rsidRPr="00062303">
              <w:rPr>
                <w:rFonts w:eastAsia="SimSun"/>
                <w:color w:val="000000"/>
                <w:sz w:val="22"/>
                <w:szCs w:val="22"/>
                <w:lang w:bidi="ar"/>
              </w:rPr>
              <w:t>пиридоксальфосфата</w:t>
            </w:r>
            <w:proofErr w:type="spellEnd"/>
            <w:r w:rsidRPr="00062303">
              <w:rPr>
                <w:rFonts w:eastAsia="SimSun"/>
                <w:color w:val="000000"/>
                <w:sz w:val="22"/>
                <w:szCs w:val="22"/>
                <w:lang w:bidi="ar"/>
              </w:rPr>
              <w:t xml:space="preserve">, </w:t>
            </w:r>
            <w:r>
              <w:rPr>
                <w:rFonts w:eastAsia="SimSun"/>
                <w:color w:val="000000"/>
                <w:sz w:val="22"/>
                <w:szCs w:val="22"/>
                <w:lang w:val="en-US" w:bidi="ar"/>
              </w:rPr>
              <w:t>IFCC</w:t>
            </w:r>
            <w:r w:rsidRPr="00062303">
              <w:rPr>
                <w:rFonts w:eastAsia="SimSun"/>
                <w:color w:val="000000"/>
                <w:sz w:val="22"/>
                <w:szCs w:val="22"/>
                <w:lang w:bidi="ar"/>
              </w:rPr>
              <w:t xml:space="preserve">. Форма выпуска: жидкий </w:t>
            </w:r>
            <w:proofErr w:type="spellStart"/>
            <w:proofErr w:type="gramStart"/>
            <w:r w:rsidRPr="00062303">
              <w:rPr>
                <w:rFonts w:eastAsia="SimSun"/>
                <w:color w:val="000000"/>
                <w:sz w:val="22"/>
                <w:szCs w:val="22"/>
                <w:lang w:bidi="ar"/>
              </w:rPr>
              <w:t>биреагент</w:t>
            </w:r>
            <w:proofErr w:type="spellEnd"/>
            <w:r w:rsidRPr="00062303">
              <w:rPr>
                <w:rFonts w:eastAsia="SimSun"/>
                <w:color w:val="000000"/>
                <w:sz w:val="22"/>
                <w:szCs w:val="22"/>
                <w:lang w:bidi="ar"/>
              </w:rPr>
              <w:t xml:space="preserve">  в</w:t>
            </w:r>
            <w:proofErr w:type="gramEnd"/>
            <w:r w:rsidRPr="00062303">
              <w:rPr>
                <w:rFonts w:eastAsia="SimSun"/>
                <w:color w:val="000000"/>
                <w:sz w:val="22"/>
                <w:szCs w:val="22"/>
                <w:lang w:bidi="ar"/>
              </w:rPr>
              <w:t xml:space="preserve"> картриджах для анализаторов </w:t>
            </w:r>
            <w:r>
              <w:rPr>
                <w:rFonts w:eastAsia="SimSun"/>
                <w:color w:val="000000"/>
                <w:sz w:val="22"/>
                <w:szCs w:val="22"/>
                <w:lang w:val="en-US" w:bidi="ar"/>
              </w:rPr>
              <w:t>MIURA</w:t>
            </w:r>
            <w:r w:rsidRPr="00062303">
              <w:rPr>
                <w:rFonts w:eastAsia="SimSun"/>
                <w:color w:val="000000"/>
                <w:sz w:val="22"/>
                <w:szCs w:val="22"/>
                <w:lang w:bidi="ar"/>
              </w:rPr>
              <w:t xml:space="preserve">. Объем: Реагент </w:t>
            </w:r>
            <w:proofErr w:type="gramStart"/>
            <w:r w:rsidRPr="00062303">
              <w:rPr>
                <w:rFonts w:eastAsia="SimSun"/>
                <w:color w:val="000000"/>
                <w:sz w:val="22"/>
                <w:szCs w:val="22"/>
                <w:lang w:bidi="ar"/>
              </w:rPr>
              <w:t>1  не</w:t>
            </w:r>
            <w:proofErr w:type="gramEnd"/>
            <w:r w:rsidRPr="00062303">
              <w:rPr>
                <w:rFonts w:eastAsia="SimSun"/>
                <w:color w:val="000000"/>
                <w:sz w:val="22"/>
                <w:szCs w:val="22"/>
                <w:lang w:bidi="ar"/>
              </w:rPr>
              <w:t xml:space="preserve"> менее 4х48 мл, Реагент 2 не менее 4х14 мл. Линейность в диапазоне от не более  20 до не менее 600 Е/л. Стабильность реагентов  после вскрытия флаконов в течение всего срока годности при температуре от 2 до 8 °С.</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2</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6</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 АСТ </w:t>
            </w:r>
            <w:r>
              <w:rPr>
                <w:rFonts w:eastAsia="Arial Cyr"/>
                <w:color w:val="000000"/>
                <w:sz w:val="22"/>
                <w:szCs w:val="22"/>
                <w:lang w:val="en-US" w:bidi="ar"/>
              </w:rPr>
              <w:t>IFCC</w:t>
            </w:r>
            <w:r w:rsidRPr="00062303">
              <w:rPr>
                <w:rFonts w:eastAsia="Arial Cyr"/>
                <w:color w:val="000000"/>
                <w:sz w:val="22"/>
                <w:szCs w:val="22"/>
                <w:lang w:bidi="ar"/>
              </w:rPr>
              <w:t xml:space="preserve"> 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rFonts w:eastAsia="SimSun"/>
                <w:color w:val="000000"/>
                <w:sz w:val="22"/>
                <w:szCs w:val="22"/>
                <w:lang w:bidi="ar"/>
              </w:rPr>
            </w:pPr>
            <w:r w:rsidRPr="00062303">
              <w:rPr>
                <w:rFonts w:eastAsia="SimSun"/>
                <w:color w:val="000000"/>
                <w:sz w:val="22"/>
                <w:szCs w:val="22"/>
                <w:lang w:bidi="ar"/>
              </w:rPr>
              <w:t xml:space="preserve">Назначение: для определения активности </w:t>
            </w:r>
            <w:proofErr w:type="spellStart"/>
            <w:r w:rsidRPr="00062303">
              <w:rPr>
                <w:rFonts w:eastAsia="SimSun"/>
                <w:color w:val="000000"/>
                <w:sz w:val="22"/>
                <w:szCs w:val="22"/>
                <w:lang w:bidi="ar"/>
              </w:rPr>
              <w:t>аспартатаминотрансферазы</w:t>
            </w:r>
            <w:proofErr w:type="spellEnd"/>
            <w:r w:rsidRPr="00062303">
              <w:rPr>
                <w:rFonts w:eastAsia="SimSun"/>
                <w:color w:val="000000"/>
                <w:sz w:val="22"/>
                <w:szCs w:val="22"/>
                <w:lang w:bidi="ar"/>
              </w:rPr>
              <w:t xml:space="preserve"> в сыворотке и плазме крови УФ кинетическим методом без </w:t>
            </w:r>
            <w:proofErr w:type="spellStart"/>
            <w:r w:rsidRPr="00062303">
              <w:rPr>
                <w:rFonts w:eastAsia="SimSun"/>
                <w:color w:val="000000"/>
                <w:sz w:val="22"/>
                <w:szCs w:val="22"/>
                <w:lang w:bidi="ar"/>
              </w:rPr>
              <w:t>пиридоксальфосфата</w:t>
            </w:r>
            <w:proofErr w:type="spellEnd"/>
            <w:r w:rsidRPr="00062303">
              <w:rPr>
                <w:rFonts w:eastAsia="SimSun"/>
                <w:color w:val="000000"/>
                <w:sz w:val="22"/>
                <w:szCs w:val="22"/>
                <w:lang w:bidi="ar"/>
              </w:rPr>
              <w:t xml:space="preserve">, </w:t>
            </w:r>
            <w:r>
              <w:rPr>
                <w:rFonts w:eastAsia="SimSun"/>
                <w:color w:val="000000"/>
                <w:sz w:val="22"/>
                <w:szCs w:val="22"/>
                <w:lang w:val="en-US" w:bidi="ar"/>
              </w:rPr>
              <w:t>IFCC</w:t>
            </w:r>
            <w:r w:rsidRPr="00062303">
              <w:rPr>
                <w:rFonts w:eastAsia="SimSun"/>
                <w:color w:val="000000"/>
                <w:sz w:val="22"/>
                <w:szCs w:val="22"/>
                <w:lang w:bidi="ar"/>
              </w:rPr>
              <w:t xml:space="preserve">. Форма выпуска: жидкий </w:t>
            </w:r>
            <w:proofErr w:type="spellStart"/>
            <w:proofErr w:type="gramStart"/>
            <w:r w:rsidRPr="00062303">
              <w:rPr>
                <w:rFonts w:eastAsia="SimSun"/>
                <w:color w:val="000000"/>
                <w:sz w:val="22"/>
                <w:szCs w:val="22"/>
                <w:lang w:bidi="ar"/>
              </w:rPr>
              <w:t>биреагент</w:t>
            </w:r>
            <w:proofErr w:type="spellEnd"/>
            <w:r w:rsidRPr="00062303">
              <w:rPr>
                <w:rFonts w:eastAsia="SimSun"/>
                <w:color w:val="000000"/>
                <w:sz w:val="22"/>
                <w:szCs w:val="22"/>
                <w:lang w:bidi="ar"/>
              </w:rPr>
              <w:t xml:space="preserve">  в</w:t>
            </w:r>
            <w:proofErr w:type="gramEnd"/>
            <w:r w:rsidRPr="00062303">
              <w:rPr>
                <w:rFonts w:eastAsia="SimSun"/>
                <w:color w:val="000000"/>
                <w:sz w:val="22"/>
                <w:szCs w:val="22"/>
                <w:lang w:bidi="ar"/>
              </w:rPr>
              <w:t xml:space="preserve"> картриджах для анализаторов </w:t>
            </w:r>
            <w:r>
              <w:rPr>
                <w:rFonts w:eastAsia="SimSun"/>
                <w:color w:val="000000"/>
                <w:sz w:val="22"/>
                <w:szCs w:val="22"/>
                <w:lang w:val="en-US" w:bidi="ar"/>
              </w:rPr>
              <w:t>MIURA</w:t>
            </w:r>
            <w:r w:rsidRPr="00062303">
              <w:rPr>
                <w:rFonts w:eastAsia="SimSun"/>
                <w:color w:val="000000"/>
                <w:sz w:val="22"/>
                <w:szCs w:val="22"/>
                <w:lang w:bidi="ar"/>
              </w:rPr>
              <w:t xml:space="preserve">  (форма первичных флаконов с реагентами должна позволять использовать их в приборе  без переноса во вторичные флаконы) Фасовка: Реагент 1 не менее 4х48 мл, Реагент 2 не менее 4х12 мл. Линейность в диапазоне не менее чем от 20 до 400 Е/л. Стабильность реагентов на борту анализатора не менее 1 мес., 2-8°</w:t>
            </w:r>
            <w:r>
              <w:rPr>
                <w:rFonts w:eastAsia="SimSun"/>
                <w:color w:val="000000"/>
                <w:sz w:val="22"/>
                <w:szCs w:val="22"/>
                <w:lang w:val="en-US" w:bidi="ar"/>
              </w:rPr>
              <w:t>C</w:t>
            </w:r>
            <w:r w:rsidRPr="00062303">
              <w:rPr>
                <w:rFonts w:eastAsia="SimSun"/>
                <w:color w:val="000000"/>
                <w:sz w:val="22"/>
                <w:szCs w:val="22"/>
                <w:lang w:bidi="ar"/>
              </w:rPr>
              <w:t>.</w:t>
            </w:r>
          </w:p>
          <w:p w:rsidR="007108D6" w:rsidRDefault="007108D6" w:rsidP="003A253B">
            <w:pPr>
              <w:textAlignment w:val="top"/>
              <w:rPr>
                <w:sz w:val="22"/>
                <w:szCs w:val="22"/>
              </w:rPr>
            </w:pP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2</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lastRenderedPageBreak/>
              <w:t>7</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 Мочевина УФ 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proofErr w:type="spellStart"/>
            <w:proofErr w:type="gramStart"/>
            <w:r w:rsidRPr="00062303">
              <w:rPr>
                <w:rFonts w:eastAsia="SimSun"/>
                <w:color w:val="000000"/>
                <w:sz w:val="22"/>
                <w:szCs w:val="22"/>
                <w:lang w:bidi="ar"/>
              </w:rPr>
              <w:t>Назначение:для</w:t>
            </w:r>
            <w:proofErr w:type="spellEnd"/>
            <w:proofErr w:type="gramEnd"/>
            <w:r w:rsidRPr="00062303">
              <w:rPr>
                <w:rFonts w:eastAsia="SimSun"/>
                <w:color w:val="000000"/>
                <w:sz w:val="22"/>
                <w:szCs w:val="22"/>
                <w:lang w:bidi="ar"/>
              </w:rPr>
              <w:t xml:space="preserve"> определения мочевины в сыворотке, плазме крови и моче УФ- кинетическим </w:t>
            </w:r>
            <w:proofErr w:type="spellStart"/>
            <w:r w:rsidRPr="00062303">
              <w:rPr>
                <w:rFonts w:eastAsia="SimSun"/>
                <w:color w:val="000000"/>
                <w:sz w:val="22"/>
                <w:szCs w:val="22"/>
                <w:lang w:bidi="ar"/>
              </w:rPr>
              <w:t>уреазным</w:t>
            </w:r>
            <w:proofErr w:type="spellEnd"/>
            <w:r w:rsidRPr="00062303">
              <w:rPr>
                <w:rFonts w:eastAsia="SimSun"/>
                <w:color w:val="000000"/>
                <w:sz w:val="22"/>
                <w:szCs w:val="22"/>
                <w:lang w:bidi="ar"/>
              </w:rPr>
              <w:t xml:space="preserve">/ </w:t>
            </w:r>
            <w:proofErr w:type="spellStart"/>
            <w:r w:rsidRPr="00062303">
              <w:rPr>
                <w:rFonts w:eastAsia="SimSun"/>
                <w:color w:val="000000"/>
                <w:sz w:val="22"/>
                <w:szCs w:val="22"/>
                <w:lang w:bidi="ar"/>
              </w:rPr>
              <w:t>глутаматдегидрогеназным</w:t>
            </w:r>
            <w:proofErr w:type="spellEnd"/>
            <w:r w:rsidRPr="00062303">
              <w:rPr>
                <w:rFonts w:eastAsia="SimSun"/>
                <w:color w:val="000000"/>
                <w:sz w:val="22"/>
                <w:szCs w:val="22"/>
                <w:lang w:bidi="ar"/>
              </w:rPr>
              <w:t xml:space="preserve"> методом. Форма выпуска: жидкий </w:t>
            </w:r>
            <w:proofErr w:type="spellStart"/>
            <w:r w:rsidRPr="00062303">
              <w:rPr>
                <w:rFonts w:eastAsia="SimSun"/>
                <w:color w:val="000000"/>
                <w:sz w:val="22"/>
                <w:szCs w:val="22"/>
                <w:lang w:bidi="ar"/>
              </w:rPr>
              <w:t>биреагент</w:t>
            </w:r>
            <w:proofErr w:type="spellEnd"/>
            <w:r w:rsidRPr="00062303">
              <w:rPr>
                <w:rFonts w:eastAsia="SimSun"/>
                <w:color w:val="000000"/>
                <w:sz w:val="22"/>
                <w:szCs w:val="22"/>
                <w:lang w:bidi="ar"/>
              </w:rPr>
              <w:t xml:space="preserve">. Объем реагента: Реагент 1 не менее 2х80 мл, Реагент 2 не менее 2х20 мл. Линейность в диапазоне от не </w:t>
            </w:r>
            <w:proofErr w:type="gramStart"/>
            <w:r w:rsidRPr="00062303">
              <w:rPr>
                <w:rFonts w:eastAsia="SimSun"/>
                <w:color w:val="000000"/>
                <w:sz w:val="22"/>
                <w:szCs w:val="22"/>
                <w:lang w:bidi="ar"/>
              </w:rPr>
              <w:t>более  2</w:t>
            </w:r>
            <w:proofErr w:type="gramEnd"/>
            <w:r w:rsidRPr="00062303">
              <w:rPr>
                <w:rFonts w:eastAsia="SimSun"/>
                <w:color w:val="000000"/>
                <w:sz w:val="22"/>
                <w:szCs w:val="22"/>
                <w:lang w:bidi="ar"/>
              </w:rPr>
              <w:t xml:space="preserve"> до не менее  50,0 </w:t>
            </w:r>
            <w:proofErr w:type="spellStart"/>
            <w:r w:rsidRPr="00062303">
              <w:rPr>
                <w:rFonts w:eastAsia="SimSun"/>
                <w:color w:val="000000"/>
                <w:sz w:val="22"/>
                <w:szCs w:val="22"/>
                <w:lang w:bidi="ar"/>
              </w:rPr>
              <w:t>ммоль</w:t>
            </w:r>
            <w:proofErr w:type="spellEnd"/>
            <w:r w:rsidRPr="00062303">
              <w:rPr>
                <w:rFonts w:eastAsia="SimSun"/>
                <w:color w:val="000000"/>
                <w:sz w:val="22"/>
                <w:szCs w:val="22"/>
                <w:lang w:bidi="ar"/>
              </w:rPr>
              <w:t>/л. Наличие калибратора. Стабильность реагента после вскрытия на протяжении всего срока годности  при температуре 2-8°</w:t>
            </w:r>
            <w:r>
              <w:rPr>
                <w:rFonts w:eastAsia="SimSun"/>
                <w:color w:val="000000"/>
                <w:sz w:val="22"/>
                <w:szCs w:val="22"/>
                <w:lang w:val="en-US" w:bidi="ar"/>
              </w:rPr>
              <w:t>C</w:t>
            </w:r>
            <w:r w:rsidRPr="00062303">
              <w:rPr>
                <w:rFonts w:eastAsia="SimSun"/>
                <w:color w:val="000000"/>
                <w:sz w:val="22"/>
                <w:szCs w:val="22"/>
                <w:lang w:bidi="ar"/>
              </w:rPr>
              <w:t>.</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5</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8</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proofErr w:type="spellStart"/>
            <w:r w:rsidRPr="00062303">
              <w:rPr>
                <w:rFonts w:eastAsia="Arial Cyr"/>
                <w:color w:val="000000"/>
                <w:sz w:val="22"/>
                <w:szCs w:val="22"/>
                <w:lang w:bidi="ar"/>
              </w:rPr>
              <w:t>Креатинин</w:t>
            </w:r>
            <w:proofErr w:type="spellEnd"/>
            <w:r w:rsidRPr="00062303">
              <w:rPr>
                <w:rFonts w:eastAsia="Arial Cyr"/>
                <w:color w:val="000000"/>
                <w:sz w:val="22"/>
                <w:szCs w:val="22"/>
                <w:lang w:bidi="ar"/>
              </w:rPr>
              <w:t>-Ново-А (</w:t>
            </w:r>
            <w:proofErr w:type="spellStart"/>
            <w:r w:rsidRPr="00062303">
              <w:rPr>
                <w:rFonts w:eastAsia="Arial Cyr"/>
                <w:color w:val="000000"/>
                <w:sz w:val="22"/>
                <w:szCs w:val="22"/>
                <w:lang w:bidi="ar"/>
              </w:rPr>
              <w:t>биреагент</w:t>
            </w:r>
            <w:proofErr w:type="spellEnd"/>
            <w:r w:rsidRPr="00062303">
              <w:rPr>
                <w:rFonts w:eastAsia="Arial Cyr"/>
                <w:color w:val="000000"/>
                <w:sz w:val="22"/>
                <w:szCs w:val="22"/>
                <w:lang w:bidi="ar"/>
              </w:rPr>
              <w:t xml:space="preserve">) (вариант 6 авто, </w:t>
            </w:r>
            <w:proofErr w:type="spellStart"/>
            <w:r w:rsidRPr="00062303">
              <w:rPr>
                <w:rFonts w:eastAsia="Arial Cyr"/>
                <w:color w:val="000000"/>
                <w:sz w:val="22"/>
                <w:szCs w:val="22"/>
                <w:lang w:bidi="ar"/>
              </w:rPr>
              <w:t>Миура</w:t>
            </w:r>
            <w:proofErr w:type="spellEnd"/>
            <w:r w:rsidRPr="00062303">
              <w:rPr>
                <w:rFonts w:eastAsia="Arial Cyr"/>
                <w:color w:val="000000"/>
                <w:sz w:val="22"/>
                <w:szCs w:val="22"/>
                <w:lang w:bidi="ar"/>
              </w:rPr>
              <w:t xml:space="preserve">) </w:t>
            </w:r>
          </w:p>
        </w:tc>
        <w:tc>
          <w:tcPr>
            <w:tcW w:w="5812" w:type="dxa"/>
          </w:tcPr>
          <w:p w:rsidR="0017546E" w:rsidRDefault="0017546E" w:rsidP="003A253B">
            <w:pPr>
              <w:textAlignment w:val="top"/>
              <w:rPr>
                <w:color w:val="000000"/>
                <w:sz w:val="22"/>
                <w:szCs w:val="22"/>
              </w:rPr>
            </w:pPr>
            <w:r>
              <w:rPr>
                <w:rFonts w:eastAsia="SimSun"/>
                <w:color w:val="000000"/>
                <w:sz w:val="22"/>
                <w:szCs w:val="22"/>
                <w:lang w:bidi="ar"/>
              </w:rPr>
              <w:t xml:space="preserve">Назначение: для определения концентрации </w:t>
            </w:r>
            <w:proofErr w:type="spellStart"/>
            <w:r>
              <w:rPr>
                <w:rFonts w:eastAsia="SimSun"/>
                <w:color w:val="000000"/>
                <w:sz w:val="22"/>
                <w:szCs w:val="22"/>
                <w:lang w:bidi="ar"/>
              </w:rPr>
              <w:t>креатинина</w:t>
            </w:r>
            <w:proofErr w:type="spellEnd"/>
            <w:r>
              <w:rPr>
                <w:rFonts w:eastAsia="SimSun"/>
                <w:color w:val="000000"/>
                <w:sz w:val="22"/>
                <w:szCs w:val="22"/>
                <w:lang w:bidi="ar"/>
              </w:rPr>
              <w:t xml:space="preserve"> в сыворотке, плазме крови и моче кинетическим методом Яффе с движущейся холостой пробой и компенсацией. Форма выпуска: жидкий </w:t>
            </w:r>
            <w:proofErr w:type="spellStart"/>
            <w:proofErr w:type="gramStart"/>
            <w:r>
              <w:rPr>
                <w:rFonts w:eastAsia="SimSun"/>
                <w:color w:val="000000"/>
                <w:sz w:val="22"/>
                <w:szCs w:val="22"/>
                <w:lang w:bidi="ar"/>
              </w:rPr>
              <w:t>биреагент</w:t>
            </w:r>
            <w:proofErr w:type="spellEnd"/>
            <w:r>
              <w:rPr>
                <w:rFonts w:eastAsia="SimSun"/>
                <w:color w:val="000000"/>
                <w:sz w:val="22"/>
                <w:szCs w:val="22"/>
                <w:lang w:bidi="ar"/>
              </w:rPr>
              <w:t xml:space="preserve">  в</w:t>
            </w:r>
            <w:proofErr w:type="gramEnd"/>
            <w:r>
              <w:rPr>
                <w:rFonts w:eastAsia="SimSun"/>
                <w:color w:val="000000"/>
                <w:sz w:val="22"/>
                <w:szCs w:val="22"/>
                <w:lang w:bidi="ar"/>
              </w:rPr>
              <w:t xml:space="preserve"> картриджах для анализаторов </w:t>
            </w:r>
            <w:r>
              <w:rPr>
                <w:rFonts w:eastAsia="SimSun"/>
                <w:color w:val="000000"/>
                <w:sz w:val="22"/>
                <w:szCs w:val="22"/>
                <w:lang w:val="en-US" w:bidi="ar"/>
              </w:rPr>
              <w:t>MIURA</w:t>
            </w:r>
            <w:r>
              <w:rPr>
                <w:rFonts w:eastAsia="SimSun"/>
                <w:color w:val="000000"/>
                <w:sz w:val="22"/>
                <w:szCs w:val="22"/>
                <w:lang w:bidi="ar"/>
              </w:rPr>
              <w:t xml:space="preserve">. Объем: Реагент 1 не менее 4х48 мл, Реагент 2 не менее 4х12 мл. Линейность в диапазоне от не более 25 до не менее 3800 </w:t>
            </w:r>
            <w:proofErr w:type="spellStart"/>
            <w:r>
              <w:rPr>
                <w:rFonts w:eastAsia="SimSun"/>
                <w:color w:val="000000"/>
                <w:sz w:val="22"/>
                <w:szCs w:val="22"/>
                <w:lang w:bidi="ar"/>
              </w:rPr>
              <w:t>мкмоль</w:t>
            </w:r>
            <w:proofErr w:type="spellEnd"/>
            <w:r>
              <w:rPr>
                <w:rFonts w:eastAsia="SimSun"/>
                <w:color w:val="000000"/>
                <w:sz w:val="22"/>
                <w:szCs w:val="22"/>
                <w:lang w:bidi="ar"/>
              </w:rPr>
              <w:t>/л. Стабильность реагентов  после вскрытия флаконов в течение всего срока годности при температуре от 2 до 8 °С.</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6</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9</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Мочевая кислота-Ново жидкая форма </w:t>
            </w:r>
            <w:proofErr w:type="spellStart"/>
            <w:r w:rsidRPr="00062303">
              <w:rPr>
                <w:rFonts w:eastAsia="Arial Cyr"/>
                <w:color w:val="000000"/>
                <w:sz w:val="22"/>
                <w:szCs w:val="22"/>
                <w:lang w:bidi="ar"/>
              </w:rPr>
              <w:t>Миура</w:t>
            </w:r>
            <w:proofErr w:type="spellEnd"/>
          </w:p>
        </w:tc>
        <w:tc>
          <w:tcPr>
            <w:tcW w:w="5812" w:type="dxa"/>
          </w:tcPr>
          <w:p w:rsidR="0017546E" w:rsidRDefault="0017546E" w:rsidP="003A253B">
            <w:pPr>
              <w:textAlignment w:val="top"/>
              <w:rPr>
                <w:sz w:val="22"/>
                <w:szCs w:val="22"/>
              </w:rPr>
            </w:pPr>
            <w:r w:rsidRPr="00062303">
              <w:rPr>
                <w:rFonts w:eastAsia="SimSun"/>
                <w:color w:val="000000"/>
                <w:sz w:val="22"/>
                <w:szCs w:val="22"/>
                <w:lang w:bidi="ar"/>
              </w:rPr>
              <w:t>Назначение</w:t>
            </w:r>
            <w:proofErr w:type="gramStart"/>
            <w:r w:rsidRPr="00062303">
              <w:rPr>
                <w:rFonts w:eastAsia="SimSun"/>
                <w:color w:val="000000"/>
                <w:sz w:val="22"/>
                <w:szCs w:val="22"/>
                <w:lang w:bidi="ar"/>
              </w:rPr>
              <w:t>: .</w:t>
            </w:r>
            <w:proofErr w:type="gramEnd"/>
            <w:r w:rsidRPr="00062303">
              <w:rPr>
                <w:rFonts w:eastAsia="SimSun"/>
                <w:color w:val="000000"/>
                <w:sz w:val="22"/>
                <w:szCs w:val="22"/>
                <w:lang w:bidi="ar"/>
              </w:rPr>
              <w:t xml:space="preserve"> Форма выпуска: жидкий </w:t>
            </w:r>
            <w:proofErr w:type="spellStart"/>
            <w:r w:rsidRPr="00062303">
              <w:rPr>
                <w:rFonts w:eastAsia="SimSun"/>
                <w:color w:val="000000"/>
                <w:sz w:val="22"/>
                <w:szCs w:val="22"/>
                <w:lang w:bidi="ar"/>
              </w:rPr>
              <w:t>монореагент</w:t>
            </w:r>
            <w:proofErr w:type="spellEnd"/>
            <w:r w:rsidRPr="00062303">
              <w:rPr>
                <w:rFonts w:eastAsia="SimSun"/>
                <w:color w:val="000000"/>
                <w:sz w:val="22"/>
                <w:szCs w:val="22"/>
                <w:lang w:bidi="ar"/>
              </w:rPr>
              <w:t xml:space="preserve"> в картриджах для анализаторов </w:t>
            </w:r>
            <w:r>
              <w:rPr>
                <w:rFonts w:eastAsia="SimSun"/>
                <w:color w:val="000000"/>
                <w:sz w:val="22"/>
                <w:szCs w:val="22"/>
                <w:lang w:val="en-US" w:bidi="ar"/>
              </w:rPr>
              <w:t>MIURA</w:t>
            </w:r>
            <w:r w:rsidRPr="00062303">
              <w:rPr>
                <w:rFonts w:eastAsia="SimSun"/>
                <w:color w:val="000000"/>
                <w:sz w:val="22"/>
                <w:szCs w:val="22"/>
                <w:lang w:bidi="ar"/>
              </w:rPr>
              <w:t xml:space="preserve">. Объем: не менее 4х50 мл. Линейность в диапазоне от не более  140 до не менее 1500 </w:t>
            </w:r>
            <w:proofErr w:type="spellStart"/>
            <w:r w:rsidRPr="00062303">
              <w:rPr>
                <w:rFonts w:eastAsia="SimSun"/>
                <w:color w:val="000000"/>
                <w:sz w:val="22"/>
                <w:szCs w:val="22"/>
                <w:lang w:bidi="ar"/>
              </w:rPr>
              <w:t>мкмоль</w:t>
            </w:r>
            <w:proofErr w:type="spellEnd"/>
            <w:r w:rsidRPr="00062303">
              <w:rPr>
                <w:rFonts w:eastAsia="SimSun"/>
                <w:color w:val="000000"/>
                <w:sz w:val="22"/>
                <w:szCs w:val="22"/>
                <w:lang w:bidi="ar"/>
              </w:rPr>
              <w:t>/л. Стабильность реагентов  после вскрытия флаконов в течение всего срока годности при температуре от 2 до 8 °С.</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1</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10</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Pr="00062303" w:rsidRDefault="0017546E" w:rsidP="003A253B">
            <w:pPr>
              <w:textAlignment w:val="center"/>
              <w:rPr>
                <w:rFonts w:eastAsia="Arial Cyr"/>
                <w:color w:val="000000"/>
                <w:sz w:val="22"/>
                <w:szCs w:val="22"/>
                <w:lang w:bidi="ar"/>
              </w:rPr>
            </w:pPr>
            <w:r w:rsidRPr="00062303">
              <w:rPr>
                <w:rFonts w:eastAsia="Arial Cyr"/>
                <w:color w:val="000000"/>
                <w:sz w:val="22"/>
                <w:szCs w:val="22"/>
                <w:lang w:bidi="ar"/>
              </w:rPr>
              <w:t xml:space="preserve"> Калий-Ново </w:t>
            </w:r>
          </w:p>
          <w:p w:rsidR="0017546E" w:rsidRPr="00062303" w:rsidRDefault="0017546E" w:rsidP="003A253B">
            <w:pPr>
              <w:textAlignment w:val="center"/>
              <w:rPr>
                <w:rFonts w:eastAsia="Arial Cyr"/>
                <w:color w:val="000000"/>
                <w:sz w:val="22"/>
                <w:szCs w:val="22"/>
                <w:lang w:bidi="ar"/>
              </w:rPr>
            </w:pPr>
            <w:r w:rsidRPr="00062303">
              <w:rPr>
                <w:rFonts w:eastAsia="Arial Cyr"/>
                <w:color w:val="000000"/>
                <w:sz w:val="22"/>
                <w:szCs w:val="22"/>
                <w:lang w:bidi="ar"/>
              </w:rPr>
              <w:t xml:space="preserve">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 xml:space="preserve">Назначение: для определения концентрации калия в сыворотке и плазме </w:t>
            </w:r>
            <w:proofErr w:type="gramStart"/>
            <w:r w:rsidRPr="00062303">
              <w:rPr>
                <w:rFonts w:eastAsia="SimSun"/>
                <w:color w:val="000000"/>
                <w:sz w:val="22"/>
                <w:szCs w:val="22"/>
                <w:lang w:bidi="ar"/>
              </w:rPr>
              <w:t>крови  турбидиметрическим</w:t>
            </w:r>
            <w:proofErr w:type="gramEnd"/>
            <w:r w:rsidRPr="00062303">
              <w:rPr>
                <w:rFonts w:eastAsia="SimSun"/>
                <w:color w:val="000000"/>
                <w:sz w:val="22"/>
                <w:szCs w:val="22"/>
                <w:lang w:bidi="ar"/>
              </w:rPr>
              <w:t xml:space="preserve"> методом.  Форма выпуска: жидкий </w:t>
            </w:r>
            <w:proofErr w:type="spellStart"/>
            <w:r w:rsidRPr="00062303">
              <w:rPr>
                <w:rFonts w:eastAsia="SimSun"/>
                <w:color w:val="000000"/>
                <w:sz w:val="22"/>
                <w:szCs w:val="22"/>
                <w:lang w:bidi="ar"/>
              </w:rPr>
              <w:t>монореагент</w:t>
            </w:r>
            <w:proofErr w:type="spellEnd"/>
            <w:r w:rsidRPr="00062303">
              <w:rPr>
                <w:rFonts w:eastAsia="SimSun"/>
                <w:color w:val="000000"/>
                <w:sz w:val="22"/>
                <w:szCs w:val="22"/>
                <w:lang w:bidi="ar"/>
              </w:rPr>
              <w:t xml:space="preserve">. Объем реагента: не менее 1х50 мл. Линейность в диапазоне от не более от 2 до не менее 10,0 </w:t>
            </w:r>
            <w:proofErr w:type="spellStart"/>
            <w:r w:rsidRPr="00062303">
              <w:rPr>
                <w:rFonts w:eastAsia="SimSun"/>
                <w:color w:val="000000"/>
                <w:sz w:val="22"/>
                <w:szCs w:val="22"/>
                <w:lang w:bidi="ar"/>
              </w:rPr>
              <w:t>ммоль</w:t>
            </w:r>
            <w:proofErr w:type="spellEnd"/>
            <w:r w:rsidRPr="00062303">
              <w:rPr>
                <w:rFonts w:eastAsia="SimSun"/>
                <w:color w:val="000000"/>
                <w:sz w:val="22"/>
                <w:szCs w:val="22"/>
                <w:lang w:bidi="ar"/>
              </w:rPr>
              <w:t>/л. Наличие калибратора. Реагент и калибратор после вскрытия флаконов стабильны не менее 3 мес. при температуре 18–25°С.</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10</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11</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Pr="00062303" w:rsidRDefault="0017546E" w:rsidP="003A253B">
            <w:pPr>
              <w:textAlignment w:val="center"/>
              <w:rPr>
                <w:rFonts w:eastAsia="Arial Cyr"/>
                <w:color w:val="000000"/>
                <w:sz w:val="22"/>
                <w:szCs w:val="22"/>
                <w:lang w:bidi="ar"/>
              </w:rPr>
            </w:pPr>
            <w:proofErr w:type="spellStart"/>
            <w:r w:rsidRPr="00062303">
              <w:rPr>
                <w:rFonts w:eastAsia="Arial Cyr"/>
                <w:color w:val="000000"/>
                <w:sz w:val="22"/>
                <w:szCs w:val="22"/>
                <w:lang w:bidi="ar"/>
              </w:rPr>
              <w:t>Микроальбумин</w:t>
            </w:r>
            <w:proofErr w:type="spellEnd"/>
            <w:r w:rsidRPr="00062303">
              <w:rPr>
                <w:rFonts w:eastAsia="Arial Cyr"/>
                <w:color w:val="000000"/>
                <w:sz w:val="22"/>
                <w:szCs w:val="22"/>
                <w:lang w:bidi="ar"/>
              </w:rPr>
              <w:t xml:space="preserve">-Ново </w:t>
            </w:r>
          </w:p>
          <w:p w:rsidR="0017546E" w:rsidRPr="00062303" w:rsidRDefault="0017546E" w:rsidP="003A253B">
            <w:pPr>
              <w:textAlignment w:val="center"/>
              <w:rPr>
                <w:rFonts w:eastAsia="Arial Cyr"/>
                <w:color w:val="000000"/>
                <w:sz w:val="22"/>
                <w:szCs w:val="22"/>
                <w:lang w:bidi="ar"/>
              </w:rPr>
            </w:pPr>
            <w:r w:rsidRPr="00062303">
              <w:rPr>
                <w:rFonts w:eastAsia="Arial Cyr"/>
                <w:color w:val="000000"/>
                <w:sz w:val="22"/>
                <w:szCs w:val="22"/>
                <w:lang w:bidi="ar"/>
              </w:rPr>
              <w:t xml:space="preserve">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 xml:space="preserve">Назначение: для определения концентрации альбумина в моче </w:t>
            </w:r>
            <w:proofErr w:type="spellStart"/>
            <w:r w:rsidRPr="00062303">
              <w:rPr>
                <w:rFonts w:eastAsia="SimSun"/>
                <w:color w:val="000000"/>
                <w:sz w:val="22"/>
                <w:szCs w:val="22"/>
                <w:lang w:bidi="ar"/>
              </w:rPr>
              <w:t>иммунотурбидиметрическим</w:t>
            </w:r>
            <w:proofErr w:type="spellEnd"/>
            <w:r w:rsidRPr="00062303">
              <w:rPr>
                <w:rFonts w:eastAsia="SimSun"/>
                <w:color w:val="000000"/>
                <w:sz w:val="22"/>
                <w:szCs w:val="22"/>
                <w:lang w:bidi="ar"/>
              </w:rPr>
              <w:t xml:space="preserve"> </w:t>
            </w:r>
            <w:proofErr w:type="spellStart"/>
            <w:proofErr w:type="gramStart"/>
            <w:r w:rsidRPr="00062303">
              <w:rPr>
                <w:rFonts w:eastAsia="SimSun"/>
                <w:color w:val="000000"/>
                <w:sz w:val="22"/>
                <w:szCs w:val="22"/>
                <w:lang w:bidi="ar"/>
              </w:rPr>
              <w:t>методом.Форма</w:t>
            </w:r>
            <w:proofErr w:type="spellEnd"/>
            <w:proofErr w:type="gramEnd"/>
            <w:r w:rsidRPr="00062303">
              <w:rPr>
                <w:rFonts w:eastAsia="SimSun"/>
                <w:color w:val="000000"/>
                <w:sz w:val="22"/>
                <w:szCs w:val="22"/>
                <w:lang w:bidi="ar"/>
              </w:rPr>
              <w:t xml:space="preserve"> выпуска: жидкий </w:t>
            </w:r>
            <w:proofErr w:type="spellStart"/>
            <w:r w:rsidRPr="00062303">
              <w:rPr>
                <w:rFonts w:eastAsia="SimSun"/>
                <w:color w:val="000000"/>
                <w:sz w:val="22"/>
                <w:szCs w:val="22"/>
                <w:lang w:bidi="ar"/>
              </w:rPr>
              <w:t>биреагент</w:t>
            </w:r>
            <w:proofErr w:type="spellEnd"/>
            <w:r w:rsidRPr="00062303">
              <w:rPr>
                <w:rFonts w:eastAsia="SimSun"/>
                <w:color w:val="000000"/>
                <w:sz w:val="22"/>
                <w:szCs w:val="22"/>
                <w:lang w:bidi="ar"/>
              </w:rPr>
              <w:t>. Объем реагента: Реагент 1 не менее 1х48 мл, Реагент 2 не менее 1х8 мл. Диапазон измерений: до 400,0 мг/л. Наличие калибратора. Реагенты после вскрытия флаконов стабильны в течение всего срока годности набора в плотно закрытом виде при температуре 2-8°С.</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5</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12</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 Билирубин прямой  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 xml:space="preserve">Назначение: </w:t>
            </w:r>
            <w:proofErr w:type="gramStart"/>
            <w:r w:rsidRPr="00062303">
              <w:rPr>
                <w:rFonts w:eastAsia="SimSun"/>
                <w:color w:val="000000"/>
                <w:sz w:val="22"/>
                <w:szCs w:val="22"/>
                <w:lang w:bidi="ar"/>
              </w:rPr>
              <w:t>для определения</w:t>
            </w:r>
            <w:proofErr w:type="gramEnd"/>
            <w:r w:rsidRPr="00062303">
              <w:rPr>
                <w:rFonts w:eastAsia="SimSun"/>
                <w:color w:val="000000"/>
                <w:sz w:val="22"/>
                <w:szCs w:val="22"/>
                <w:lang w:bidi="ar"/>
              </w:rPr>
              <w:t xml:space="preserve"> конъюгированного (прямого) билирубина в сыворотке и плазме крови колориметрическим методом с </w:t>
            </w:r>
            <w:proofErr w:type="spellStart"/>
            <w:r w:rsidRPr="00062303">
              <w:rPr>
                <w:rFonts w:eastAsia="SimSun"/>
                <w:color w:val="000000"/>
                <w:sz w:val="22"/>
                <w:szCs w:val="22"/>
                <w:lang w:bidi="ar"/>
              </w:rPr>
              <w:t>диазотированной</w:t>
            </w:r>
            <w:proofErr w:type="spellEnd"/>
            <w:r w:rsidRPr="00062303">
              <w:rPr>
                <w:rFonts w:eastAsia="SimSun"/>
                <w:color w:val="000000"/>
                <w:sz w:val="22"/>
                <w:szCs w:val="22"/>
                <w:lang w:bidi="ar"/>
              </w:rPr>
              <w:t xml:space="preserve"> сульфаниловой кислотой. Форма выпуска: жидкие реагенты. Объем реагента: Реагент 1 не менее 1х100 мл, Реагент 2 не менее 1х30 мл, Реагент 3 не менее 1х3 мл. Линейность в диапазоне от не </w:t>
            </w:r>
            <w:proofErr w:type="gramStart"/>
            <w:r w:rsidRPr="00062303">
              <w:rPr>
                <w:rFonts w:eastAsia="SimSun"/>
                <w:color w:val="000000"/>
                <w:sz w:val="22"/>
                <w:szCs w:val="22"/>
                <w:lang w:bidi="ar"/>
              </w:rPr>
              <w:t>более  3</w:t>
            </w:r>
            <w:proofErr w:type="gramEnd"/>
            <w:r w:rsidRPr="00062303">
              <w:rPr>
                <w:rFonts w:eastAsia="SimSun"/>
                <w:color w:val="000000"/>
                <w:sz w:val="22"/>
                <w:szCs w:val="22"/>
                <w:lang w:bidi="ar"/>
              </w:rPr>
              <w:t xml:space="preserve">,42 до не менее 171 </w:t>
            </w:r>
            <w:proofErr w:type="spellStart"/>
            <w:r w:rsidRPr="00062303">
              <w:rPr>
                <w:rFonts w:eastAsia="SimSun"/>
                <w:color w:val="000000"/>
                <w:sz w:val="22"/>
                <w:szCs w:val="22"/>
                <w:lang w:bidi="ar"/>
              </w:rPr>
              <w:t>мкмоль</w:t>
            </w:r>
            <w:proofErr w:type="spellEnd"/>
            <w:r w:rsidRPr="00062303">
              <w:rPr>
                <w:rFonts w:eastAsia="SimSun"/>
                <w:color w:val="000000"/>
                <w:sz w:val="22"/>
                <w:szCs w:val="22"/>
                <w:lang w:bidi="ar"/>
              </w:rPr>
              <w:t>/л. Наличие калибратора. Стабильность реагента после вскрытия на протяжении всего срока годности  при температуре 2-8°</w:t>
            </w:r>
            <w:r>
              <w:rPr>
                <w:rFonts w:eastAsia="SimSun"/>
                <w:color w:val="000000"/>
                <w:sz w:val="22"/>
                <w:szCs w:val="22"/>
                <w:lang w:val="en-US" w:bidi="ar"/>
              </w:rPr>
              <w:t>C</w:t>
            </w:r>
            <w:r w:rsidRPr="00062303">
              <w:rPr>
                <w:rFonts w:eastAsia="SimSun"/>
                <w:color w:val="000000"/>
                <w:sz w:val="22"/>
                <w:szCs w:val="22"/>
                <w:lang w:bidi="ar"/>
              </w:rPr>
              <w:t>.</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1</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13</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Pr="00062303" w:rsidRDefault="0017546E" w:rsidP="003A253B">
            <w:pPr>
              <w:textAlignment w:val="center"/>
              <w:rPr>
                <w:rFonts w:eastAsia="Arial Cyr"/>
                <w:color w:val="000000"/>
                <w:sz w:val="22"/>
                <w:szCs w:val="22"/>
                <w:lang w:bidi="ar"/>
              </w:rPr>
            </w:pPr>
            <w:proofErr w:type="spellStart"/>
            <w:r w:rsidRPr="00062303">
              <w:rPr>
                <w:rFonts w:eastAsia="Arial Cyr"/>
                <w:color w:val="000000"/>
                <w:sz w:val="22"/>
                <w:szCs w:val="22"/>
                <w:lang w:bidi="ar"/>
              </w:rPr>
              <w:t>Гемолизирующий</w:t>
            </w:r>
            <w:proofErr w:type="spellEnd"/>
            <w:r w:rsidRPr="00062303">
              <w:rPr>
                <w:rFonts w:eastAsia="Arial Cyr"/>
                <w:color w:val="000000"/>
                <w:sz w:val="22"/>
                <w:szCs w:val="22"/>
                <w:lang w:bidi="ar"/>
              </w:rPr>
              <w:t xml:space="preserve"> раствор</w:t>
            </w:r>
          </w:p>
          <w:p w:rsidR="0017546E" w:rsidRPr="00062303" w:rsidRDefault="0017546E" w:rsidP="003A253B">
            <w:pPr>
              <w:textAlignment w:val="center"/>
              <w:rPr>
                <w:rFonts w:eastAsia="Arial Cyr"/>
                <w:color w:val="000000"/>
                <w:sz w:val="22"/>
                <w:szCs w:val="22"/>
                <w:lang w:bidi="ar"/>
              </w:rPr>
            </w:pPr>
            <w:r w:rsidRPr="00062303">
              <w:rPr>
                <w:rFonts w:eastAsia="Arial Cyr"/>
                <w:color w:val="000000"/>
                <w:sz w:val="22"/>
                <w:szCs w:val="22"/>
                <w:lang w:bidi="ar"/>
              </w:rPr>
              <w:t xml:space="preserve">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proofErr w:type="gramStart"/>
            <w:r w:rsidRPr="00062303">
              <w:rPr>
                <w:rFonts w:eastAsia="SimSun"/>
                <w:color w:val="000000"/>
                <w:sz w:val="22"/>
                <w:szCs w:val="22"/>
                <w:lang w:bidi="ar"/>
              </w:rPr>
              <w:t>Назначение:  для</w:t>
            </w:r>
            <w:proofErr w:type="gramEnd"/>
            <w:r w:rsidRPr="00062303">
              <w:rPr>
                <w:rFonts w:eastAsia="SimSun"/>
                <w:color w:val="000000"/>
                <w:sz w:val="22"/>
                <w:szCs w:val="22"/>
                <w:lang w:bidi="ar"/>
              </w:rPr>
              <w:t xml:space="preserve"> подготовки проб при определении содержания </w:t>
            </w:r>
            <w:proofErr w:type="spellStart"/>
            <w:r w:rsidRPr="00062303">
              <w:rPr>
                <w:rFonts w:eastAsia="SimSun"/>
                <w:color w:val="000000"/>
                <w:sz w:val="22"/>
                <w:szCs w:val="22"/>
                <w:lang w:bidi="ar"/>
              </w:rPr>
              <w:t>гликозилированного</w:t>
            </w:r>
            <w:proofErr w:type="spellEnd"/>
            <w:r w:rsidRPr="00062303">
              <w:rPr>
                <w:rFonts w:eastAsia="SimSun"/>
                <w:color w:val="000000"/>
                <w:sz w:val="22"/>
                <w:szCs w:val="22"/>
                <w:lang w:bidi="ar"/>
              </w:rPr>
              <w:t xml:space="preserve"> гемоглобина в крови человека </w:t>
            </w:r>
            <w:proofErr w:type="spellStart"/>
            <w:r w:rsidRPr="00062303">
              <w:rPr>
                <w:rFonts w:eastAsia="SimSun"/>
                <w:color w:val="000000"/>
                <w:sz w:val="22"/>
                <w:szCs w:val="22"/>
                <w:lang w:bidi="ar"/>
              </w:rPr>
              <w:t>иммунотурбидиметрическим</w:t>
            </w:r>
            <w:proofErr w:type="spellEnd"/>
            <w:r w:rsidRPr="00062303">
              <w:rPr>
                <w:rFonts w:eastAsia="SimSun"/>
                <w:color w:val="000000"/>
                <w:sz w:val="22"/>
                <w:szCs w:val="22"/>
                <w:lang w:bidi="ar"/>
              </w:rPr>
              <w:t xml:space="preserve"> методом. Объем: не менее 2×</w:t>
            </w:r>
            <w:proofErr w:type="gramStart"/>
            <w:r w:rsidRPr="00062303">
              <w:rPr>
                <w:rFonts w:eastAsia="SimSun"/>
                <w:color w:val="000000"/>
                <w:sz w:val="22"/>
                <w:szCs w:val="22"/>
                <w:lang w:bidi="ar"/>
              </w:rPr>
              <w:t>250  мл</w:t>
            </w:r>
            <w:proofErr w:type="gramEnd"/>
            <w:r w:rsidRPr="00062303">
              <w:rPr>
                <w:rFonts w:eastAsia="SimSun"/>
                <w:color w:val="000000"/>
                <w:sz w:val="22"/>
                <w:szCs w:val="22"/>
                <w:lang w:bidi="ar"/>
              </w:rPr>
              <w:t xml:space="preserve">. </w:t>
            </w:r>
            <w:proofErr w:type="spellStart"/>
            <w:r w:rsidRPr="00062303">
              <w:rPr>
                <w:rFonts w:eastAsia="SimSun"/>
                <w:color w:val="000000"/>
                <w:sz w:val="22"/>
                <w:szCs w:val="22"/>
                <w:lang w:bidi="ar"/>
              </w:rPr>
              <w:t>Лизирующий</w:t>
            </w:r>
            <w:proofErr w:type="spellEnd"/>
            <w:r w:rsidRPr="00062303">
              <w:rPr>
                <w:rFonts w:eastAsia="SimSun"/>
                <w:color w:val="000000"/>
                <w:sz w:val="22"/>
                <w:szCs w:val="22"/>
                <w:lang w:bidi="ar"/>
              </w:rPr>
              <w:t xml:space="preserve"> раствор после вскрытия флаконов должен быть стабилен в течение всего срока годности набора.</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2</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14</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Раствор </w:t>
            </w:r>
            <w:proofErr w:type="spellStart"/>
            <w:r w:rsidRPr="00062303">
              <w:rPr>
                <w:rFonts w:eastAsia="Arial Cyr"/>
                <w:color w:val="000000"/>
                <w:sz w:val="22"/>
                <w:szCs w:val="22"/>
                <w:lang w:bidi="ar"/>
              </w:rPr>
              <w:t>Экстрана</w:t>
            </w:r>
            <w:proofErr w:type="spellEnd"/>
            <w:r w:rsidRPr="00062303">
              <w:rPr>
                <w:rFonts w:eastAsia="Arial Cyr"/>
                <w:color w:val="000000"/>
                <w:sz w:val="22"/>
                <w:szCs w:val="22"/>
                <w:lang w:bidi="ar"/>
              </w:rPr>
              <w:t xml:space="preserve"> для автоматического анализатора </w:t>
            </w:r>
            <w:r>
              <w:rPr>
                <w:rFonts w:eastAsia="Arial Cyr"/>
                <w:color w:val="000000"/>
                <w:sz w:val="22"/>
                <w:szCs w:val="22"/>
                <w:lang w:val="en-US" w:bidi="ar"/>
              </w:rPr>
              <w:lastRenderedPageBreak/>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lastRenderedPageBreak/>
              <w:t>Назначение:</w:t>
            </w:r>
            <w:r w:rsidR="00D95311">
              <w:rPr>
                <w:rFonts w:eastAsia="SimSun"/>
                <w:color w:val="000000"/>
                <w:sz w:val="22"/>
                <w:szCs w:val="22"/>
                <w:lang w:bidi="ar"/>
              </w:rPr>
              <w:t xml:space="preserve"> </w:t>
            </w:r>
            <w:r w:rsidRPr="00062303">
              <w:rPr>
                <w:rFonts w:eastAsia="SimSun"/>
                <w:color w:val="000000"/>
                <w:sz w:val="22"/>
                <w:szCs w:val="22"/>
                <w:lang w:bidi="ar"/>
              </w:rPr>
              <w:t xml:space="preserve">очищающий раствор </w:t>
            </w:r>
            <w:proofErr w:type="spellStart"/>
            <w:r w:rsidRPr="00062303">
              <w:rPr>
                <w:rFonts w:eastAsia="SimSun"/>
                <w:color w:val="000000"/>
                <w:sz w:val="22"/>
                <w:szCs w:val="22"/>
                <w:lang w:bidi="ar"/>
              </w:rPr>
              <w:t>экстрана</w:t>
            </w:r>
            <w:proofErr w:type="spellEnd"/>
            <w:r w:rsidRPr="00062303">
              <w:rPr>
                <w:rFonts w:eastAsia="SimSun"/>
                <w:color w:val="000000"/>
                <w:sz w:val="22"/>
                <w:szCs w:val="22"/>
                <w:lang w:bidi="ar"/>
              </w:rPr>
              <w:t xml:space="preserve">  15%,  высокоочищенный. Объем реагента: не менее 1×</w:t>
            </w:r>
            <w:proofErr w:type="gramStart"/>
            <w:r w:rsidRPr="00062303">
              <w:rPr>
                <w:rFonts w:eastAsia="SimSun"/>
                <w:color w:val="000000"/>
                <w:sz w:val="22"/>
                <w:szCs w:val="22"/>
                <w:lang w:bidi="ar"/>
              </w:rPr>
              <w:t>250  мл</w:t>
            </w:r>
            <w:proofErr w:type="gramEnd"/>
            <w:r w:rsidRPr="00062303">
              <w:rPr>
                <w:rFonts w:eastAsia="SimSun"/>
                <w:color w:val="000000"/>
                <w:sz w:val="22"/>
                <w:szCs w:val="22"/>
                <w:lang w:bidi="ar"/>
              </w:rPr>
              <w:t>. Для получения готового раствора исходный необходимо развести не менее, чем в 10 раз.</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F71FAA" w:rsidP="0017546E">
            <w:pPr>
              <w:jc w:val="center"/>
              <w:textAlignment w:val="bottom"/>
              <w:rPr>
                <w:sz w:val="22"/>
                <w:szCs w:val="22"/>
              </w:rPr>
            </w:pPr>
            <w:r>
              <w:rPr>
                <w:sz w:val="22"/>
                <w:szCs w:val="22"/>
              </w:rPr>
              <w:t>10</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lastRenderedPageBreak/>
              <w:t>15</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 xml:space="preserve"> Раствор Тритона 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Назначение: системный раствор Тритона Х-100 0,2% высокоочищенный. Объем реагента: не менее 1×</w:t>
            </w:r>
            <w:proofErr w:type="gramStart"/>
            <w:r w:rsidRPr="00062303">
              <w:rPr>
                <w:rFonts w:eastAsia="SimSun"/>
                <w:color w:val="000000"/>
                <w:sz w:val="22"/>
                <w:szCs w:val="22"/>
                <w:lang w:bidi="ar"/>
              </w:rPr>
              <w:t>250  мл</w:t>
            </w:r>
            <w:proofErr w:type="gramEnd"/>
            <w:r w:rsidRPr="00062303">
              <w:rPr>
                <w:rFonts w:eastAsia="SimSun"/>
                <w:color w:val="000000"/>
                <w:sz w:val="22"/>
                <w:szCs w:val="22"/>
                <w:lang w:bidi="ar"/>
              </w:rPr>
              <w:t>.  Для получение готового раствора исходный необходимо развести не менее, чем в 400 раз.</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F71FAA" w:rsidP="0017546E">
            <w:pPr>
              <w:jc w:val="center"/>
              <w:textAlignment w:val="bottom"/>
              <w:rPr>
                <w:sz w:val="22"/>
                <w:szCs w:val="22"/>
              </w:rPr>
            </w:pPr>
            <w:r>
              <w:rPr>
                <w:sz w:val="22"/>
                <w:szCs w:val="22"/>
              </w:rPr>
              <w:t>12</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16</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proofErr w:type="spellStart"/>
            <w:r w:rsidRPr="00062303">
              <w:rPr>
                <w:rFonts w:eastAsia="Arial Cyr"/>
                <w:color w:val="000000"/>
                <w:sz w:val="22"/>
                <w:szCs w:val="22"/>
                <w:lang w:bidi="ar"/>
              </w:rPr>
              <w:t>Гликогемоглобин</w:t>
            </w:r>
            <w:proofErr w:type="spellEnd"/>
            <w:r w:rsidRPr="00062303">
              <w:rPr>
                <w:rFonts w:eastAsia="Arial Cyr"/>
                <w:color w:val="000000"/>
                <w:sz w:val="22"/>
                <w:szCs w:val="22"/>
                <w:lang w:bidi="ar"/>
              </w:rPr>
              <w:t xml:space="preserve"> латекс</w:t>
            </w:r>
            <w:r>
              <w:rPr>
                <w:rFonts w:eastAsia="Arial Cyr"/>
                <w:color w:val="000000"/>
                <w:sz w:val="22"/>
                <w:szCs w:val="22"/>
                <w:lang w:bidi="ar"/>
              </w:rPr>
              <w:t xml:space="preserve"> </w:t>
            </w:r>
            <w:r w:rsidRPr="00062303">
              <w:rPr>
                <w:rFonts w:eastAsia="Arial Cyr"/>
                <w:color w:val="000000"/>
                <w:sz w:val="22"/>
                <w:szCs w:val="22"/>
                <w:lang w:bidi="ar"/>
              </w:rPr>
              <w:t xml:space="preserve">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 xml:space="preserve">Набор реагентов для определения </w:t>
            </w:r>
            <w:proofErr w:type="spellStart"/>
            <w:r w:rsidRPr="00062303">
              <w:rPr>
                <w:rFonts w:eastAsia="SimSun"/>
                <w:color w:val="000000"/>
                <w:sz w:val="22"/>
                <w:szCs w:val="22"/>
                <w:lang w:bidi="ar"/>
              </w:rPr>
              <w:t>гликозилированного</w:t>
            </w:r>
            <w:proofErr w:type="spellEnd"/>
            <w:r w:rsidRPr="00062303">
              <w:rPr>
                <w:rFonts w:eastAsia="SimSun"/>
                <w:color w:val="000000"/>
                <w:sz w:val="22"/>
                <w:szCs w:val="22"/>
                <w:lang w:bidi="ar"/>
              </w:rPr>
              <w:t xml:space="preserve"> гемоглобина в крови (</w:t>
            </w:r>
            <w:proofErr w:type="spellStart"/>
            <w:r w:rsidRPr="00062303">
              <w:rPr>
                <w:rFonts w:eastAsia="SimSun"/>
                <w:color w:val="000000"/>
                <w:sz w:val="22"/>
                <w:szCs w:val="22"/>
                <w:lang w:bidi="ar"/>
              </w:rPr>
              <w:t>иммунотурбидиметрический</w:t>
            </w:r>
            <w:proofErr w:type="spellEnd"/>
            <w:r w:rsidRPr="00062303">
              <w:rPr>
                <w:rFonts w:eastAsia="SimSun"/>
                <w:color w:val="000000"/>
                <w:sz w:val="22"/>
                <w:szCs w:val="22"/>
                <w:lang w:bidi="ar"/>
              </w:rPr>
              <w:t xml:space="preserve"> метод). Набор для ручного анализа, полуавтоматических и автоматических анализаторов. Форма выпуска: жидкий </w:t>
            </w:r>
            <w:proofErr w:type="spellStart"/>
            <w:r w:rsidRPr="00062303">
              <w:rPr>
                <w:rFonts w:eastAsia="SimSun"/>
                <w:color w:val="000000"/>
                <w:sz w:val="22"/>
                <w:szCs w:val="22"/>
                <w:lang w:bidi="ar"/>
              </w:rPr>
              <w:t>биреагент</w:t>
            </w:r>
            <w:proofErr w:type="spellEnd"/>
            <w:r w:rsidRPr="00062303">
              <w:rPr>
                <w:rFonts w:eastAsia="SimSun"/>
                <w:color w:val="000000"/>
                <w:sz w:val="22"/>
                <w:szCs w:val="22"/>
                <w:lang w:bidi="ar"/>
              </w:rPr>
              <w:t xml:space="preserve">. Объем реагента: не менее 2×25 мл, 1×10 мл. Диапазон измерения: не менее чем от 10 до 140 </w:t>
            </w:r>
            <w:proofErr w:type="spellStart"/>
            <w:r w:rsidRPr="00062303">
              <w:rPr>
                <w:rFonts w:eastAsia="SimSun"/>
                <w:color w:val="000000"/>
                <w:sz w:val="22"/>
                <w:szCs w:val="22"/>
                <w:lang w:bidi="ar"/>
              </w:rPr>
              <w:t>ммоль</w:t>
            </w:r>
            <w:proofErr w:type="spellEnd"/>
            <w:r w:rsidRPr="00062303">
              <w:rPr>
                <w:rFonts w:eastAsia="SimSun"/>
                <w:color w:val="000000"/>
                <w:sz w:val="22"/>
                <w:szCs w:val="22"/>
                <w:lang w:bidi="ar"/>
              </w:rPr>
              <w:t>/моль.  Реагенты после вскрытия флаконов стабильны в течение всего срока годности набора в плотно закрытом виде, в защищенном от света месте при температуре 2-8°С.</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3</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17</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Контрольная сыворотка, Аттестованная, уровень 1</w:t>
            </w:r>
            <w:r>
              <w:rPr>
                <w:rFonts w:eastAsia="Arial Cyr"/>
                <w:color w:val="000000"/>
                <w:sz w:val="22"/>
                <w:szCs w:val="22"/>
                <w:lang w:bidi="ar"/>
              </w:rPr>
              <w:t xml:space="preserve"> </w:t>
            </w:r>
            <w:r w:rsidRPr="00062303">
              <w:rPr>
                <w:rFonts w:eastAsia="Arial Cyr"/>
                <w:color w:val="000000"/>
                <w:sz w:val="22"/>
                <w:szCs w:val="22"/>
                <w:lang w:bidi="ar"/>
              </w:rPr>
              <w:t xml:space="preserve">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r w:rsidRPr="00062303">
              <w:rPr>
                <w:rFonts w:eastAsia="SimSun"/>
                <w:color w:val="000000"/>
                <w:sz w:val="22"/>
                <w:szCs w:val="22"/>
                <w:lang w:bidi="ar"/>
              </w:rPr>
              <w:t xml:space="preserve">Назначение: для проведения </w:t>
            </w:r>
            <w:proofErr w:type="spellStart"/>
            <w:r w:rsidRPr="00062303">
              <w:rPr>
                <w:rFonts w:eastAsia="SimSun"/>
                <w:color w:val="000000"/>
                <w:sz w:val="22"/>
                <w:szCs w:val="22"/>
                <w:lang w:bidi="ar"/>
              </w:rPr>
              <w:t>внутрилабораторного</w:t>
            </w:r>
            <w:proofErr w:type="spellEnd"/>
            <w:r w:rsidRPr="00062303">
              <w:rPr>
                <w:rFonts w:eastAsia="SimSun"/>
                <w:color w:val="000000"/>
                <w:sz w:val="22"/>
                <w:szCs w:val="22"/>
                <w:lang w:bidi="ar"/>
              </w:rPr>
              <w:t xml:space="preserve"> контроля качества количественных методов клинических биохимических исследований при выполнении анализов на фотометрическом оборудовании, включая автоматические биохимические анализаторы. Сыворотка контрольная аттестованная на основе сыворотки крови человека, нормальный уровень. Количество аттестованных показателей: не менее 26 (с учетом методов не менее 37). Объем реагента: не менее 5х5 мл. Срок годности после вскрытия флакона не менее 5 дней (2-8°</w:t>
            </w:r>
            <w:r>
              <w:rPr>
                <w:rFonts w:eastAsia="SimSun"/>
                <w:color w:val="000000"/>
                <w:sz w:val="22"/>
                <w:szCs w:val="22"/>
                <w:lang w:val="en-US" w:bidi="ar"/>
              </w:rPr>
              <w:t>C</w:t>
            </w:r>
            <w:r w:rsidRPr="00062303">
              <w:rPr>
                <w:rFonts w:eastAsia="SimSun"/>
                <w:color w:val="000000"/>
                <w:sz w:val="22"/>
                <w:szCs w:val="22"/>
                <w:lang w:bidi="ar"/>
              </w:rPr>
              <w:t xml:space="preserve">) или 1 мес. </w:t>
            </w:r>
            <w:r>
              <w:rPr>
                <w:rFonts w:eastAsia="SimSun"/>
                <w:color w:val="000000"/>
                <w:sz w:val="22"/>
                <w:szCs w:val="22"/>
                <w:lang w:val="en-US" w:bidi="ar"/>
              </w:rPr>
              <w:t>(-20°C).</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1</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18</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Default="0017546E" w:rsidP="003A253B">
            <w:pPr>
              <w:textAlignment w:val="center"/>
              <w:rPr>
                <w:sz w:val="22"/>
                <w:szCs w:val="22"/>
              </w:rPr>
            </w:pPr>
            <w:r w:rsidRPr="00062303">
              <w:rPr>
                <w:rFonts w:eastAsia="Arial Cyr"/>
                <w:color w:val="000000"/>
                <w:sz w:val="22"/>
                <w:szCs w:val="22"/>
                <w:lang w:bidi="ar"/>
              </w:rPr>
              <w:t>Контрольная сыворотка, Аттестованная, уровень 2</w:t>
            </w:r>
            <w:r>
              <w:rPr>
                <w:rFonts w:eastAsia="Arial Cyr"/>
                <w:color w:val="000000"/>
                <w:sz w:val="22"/>
                <w:szCs w:val="22"/>
                <w:lang w:bidi="ar"/>
              </w:rPr>
              <w:t xml:space="preserve"> </w:t>
            </w:r>
            <w:r w:rsidRPr="00062303">
              <w:rPr>
                <w:rFonts w:eastAsia="Arial Cyr"/>
                <w:color w:val="000000"/>
                <w:sz w:val="22"/>
                <w:szCs w:val="22"/>
                <w:lang w:bidi="ar"/>
              </w:rPr>
              <w:t xml:space="preserve">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textAlignment w:val="top"/>
              <w:rPr>
                <w:sz w:val="22"/>
                <w:szCs w:val="22"/>
              </w:rPr>
            </w:pPr>
            <w:proofErr w:type="gramStart"/>
            <w:r w:rsidRPr="00062303">
              <w:rPr>
                <w:rFonts w:eastAsia="SimSun"/>
                <w:color w:val="000000"/>
                <w:sz w:val="22"/>
                <w:szCs w:val="22"/>
                <w:lang w:bidi="ar"/>
              </w:rPr>
              <w:t>Назначение:  для</w:t>
            </w:r>
            <w:proofErr w:type="gramEnd"/>
            <w:r w:rsidRPr="00062303">
              <w:rPr>
                <w:rFonts w:eastAsia="SimSun"/>
                <w:color w:val="000000"/>
                <w:sz w:val="22"/>
                <w:szCs w:val="22"/>
                <w:lang w:bidi="ar"/>
              </w:rPr>
              <w:t xml:space="preserve"> проведения </w:t>
            </w:r>
            <w:proofErr w:type="spellStart"/>
            <w:r w:rsidRPr="00062303">
              <w:rPr>
                <w:rFonts w:eastAsia="SimSun"/>
                <w:color w:val="000000"/>
                <w:sz w:val="22"/>
                <w:szCs w:val="22"/>
                <w:lang w:bidi="ar"/>
              </w:rPr>
              <w:t>внутрилабораторного</w:t>
            </w:r>
            <w:proofErr w:type="spellEnd"/>
            <w:r w:rsidRPr="00062303">
              <w:rPr>
                <w:rFonts w:eastAsia="SimSun"/>
                <w:color w:val="000000"/>
                <w:sz w:val="22"/>
                <w:szCs w:val="22"/>
                <w:lang w:bidi="ar"/>
              </w:rPr>
              <w:t xml:space="preserve"> контроля качества количественных методов клинических биохимических исследований при выполнении анализов на фотометрическом оборудовании, включая автоматические биохимические анализаторы. Сыворотка контрольная аттестованная на основе сыворотки крови человека, патологический уровень (2). Количество аттестованных показателей: не менее 26 (с учетом методов не менее 37). Объем реагента: не менее 5х5 мл. Срок годности после вскрытия флакона не менее 5 дней (2-8°</w:t>
            </w:r>
            <w:r>
              <w:rPr>
                <w:rFonts w:eastAsia="SimSun"/>
                <w:color w:val="000000"/>
                <w:sz w:val="22"/>
                <w:szCs w:val="22"/>
                <w:lang w:val="en-US" w:bidi="ar"/>
              </w:rPr>
              <w:t>C</w:t>
            </w:r>
            <w:r w:rsidRPr="00062303">
              <w:rPr>
                <w:rFonts w:eastAsia="SimSun"/>
                <w:color w:val="000000"/>
                <w:sz w:val="22"/>
                <w:szCs w:val="22"/>
                <w:lang w:bidi="ar"/>
              </w:rPr>
              <w:t xml:space="preserve">) или 1 мес. </w:t>
            </w:r>
            <w:r>
              <w:rPr>
                <w:rFonts w:eastAsia="SimSun"/>
                <w:color w:val="000000"/>
                <w:sz w:val="22"/>
                <w:szCs w:val="22"/>
                <w:lang w:val="en-US" w:bidi="ar"/>
              </w:rPr>
              <w:t>(-20°C).</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1</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19</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Pr="00062303" w:rsidRDefault="0017546E" w:rsidP="003A253B">
            <w:pPr>
              <w:textAlignment w:val="center"/>
              <w:rPr>
                <w:rFonts w:eastAsia="Arial Cyr"/>
                <w:color w:val="000000"/>
                <w:sz w:val="22"/>
                <w:szCs w:val="22"/>
              </w:rPr>
            </w:pPr>
            <w:r w:rsidRPr="00062303">
              <w:rPr>
                <w:rFonts w:eastAsia="Arial Cyr"/>
                <w:color w:val="000000"/>
                <w:sz w:val="22"/>
                <w:szCs w:val="22"/>
              </w:rPr>
              <w:t>Набор реагентов для</w:t>
            </w:r>
          </w:p>
          <w:p w:rsidR="0017546E" w:rsidRPr="00062303" w:rsidRDefault="0017546E" w:rsidP="003A253B">
            <w:pPr>
              <w:textAlignment w:val="center"/>
              <w:rPr>
                <w:rFonts w:eastAsia="Arial Cyr"/>
                <w:color w:val="000000"/>
                <w:sz w:val="22"/>
                <w:szCs w:val="22"/>
              </w:rPr>
            </w:pPr>
            <w:r w:rsidRPr="00062303">
              <w:rPr>
                <w:rFonts w:eastAsia="Arial Cyr"/>
                <w:color w:val="000000"/>
                <w:sz w:val="22"/>
                <w:szCs w:val="22"/>
              </w:rPr>
              <w:t>определения концентрации</w:t>
            </w:r>
          </w:p>
          <w:p w:rsidR="0017546E" w:rsidRPr="00062303" w:rsidRDefault="0017546E" w:rsidP="003A253B">
            <w:pPr>
              <w:textAlignment w:val="center"/>
              <w:rPr>
                <w:rFonts w:eastAsia="Arial Cyr"/>
                <w:color w:val="000000"/>
                <w:sz w:val="22"/>
                <w:szCs w:val="22"/>
                <w:lang w:bidi="ar"/>
              </w:rPr>
            </w:pPr>
            <w:r w:rsidRPr="00062303">
              <w:rPr>
                <w:rFonts w:eastAsia="Arial Cyr"/>
                <w:color w:val="000000"/>
                <w:sz w:val="22"/>
                <w:szCs w:val="22"/>
              </w:rPr>
              <w:t>натрия</w:t>
            </w:r>
          </w:p>
          <w:p w:rsidR="0017546E" w:rsidRDefault="0017546E" w:rsidP="003A253B">
            <w:pPr>
              <w:textAlignment w:val="center"/>
              <w:rPr>
                <w:sz w:val="22"/>
                <w:szCs w:val="22"/>
              </w:rPr>
            </w:pPr>
            <w:proofErr w:type="spellStart"/>
            <w:r>
              <w:rPr>
                <w:rFonts w:eastAsia="Arial Cyr"/>
                <w:color w:val="000000"/>
                <w:sz w:val="22"/>
                <w:szCs w:val="22"/>
                <w:lang w:val="en-US" w:bidi="ar"/>
              </w:rPr>
              <w:t>для</w:t>
            </w:r>
            <w:proofErr w:type="spellEnd"/>
            <w:r>
              <w:rPr>
                <w:rFonts w:eastAsia="Arial Cyr"/>
                <w:color w:val="000000"/>
                <w:sz w:val="22"/>
                <w:szCs w:val="22"/>
                <w:lang w:val="en-US" w:bidi="ar"/>
              </w:rPr>
              <w:t xml:space="preserve"> </w:t>
            </w:r>
            <w:proofErr w:type="spellStart"/>
            <w:r>
              <w:rPr>
                <w:rFonts w:eastAsia="Arial Cyr"/>
                <w:color w:val="000000"/>
                <w:sz w:val="22"/>
                <w:szCs w:val="22"/>
                <w:lang w:val="en-US" w:bidi="ar"/>
              </w:rPr>
              <w:t>автоматического</w:t>
            </w:r>
            <w:proofErr w:type="spellEnd"/>
            <w:r>
              <w:rPr>
                <w:rFonts w:eastAsia="Arial Cyr"/>
                <w:color w:val="000000"/>
                <w:sz w:val="22"/>
                <w:szCs w:val="22"/>
                <w:lang w:val="en-US" w:bidi="ar"/>
              </w:rPr>
              <w:t xml:space="preserve"> </w:t>
            </w:r>
            <w:proofErr w:type="spellStart"/>
            <w:r>
              <w:rPr>
                <w:rFonts w:eastAsia="Arial Cyr"/>
                <w:color w:val="000000"/>
                <w:sz w:val="22"/>
                <w:szCs w:val="22"/>
                <w:lang w:val="en-US" w:bidi="ar"/>
              </w:rPr>
              <w:t>анализатора</w:t>
            </w:r>
            <w:proofErr w:type="spellEnd"/>
            <w:r>
              <w:rPr>
                <w:rFonts w:eastAsia="Arial Cyr"/>
                <w:color w:val="000000"/>
                <w:sz w:val="22"/>
                <w:szCs w:val="22"/>
                <w:lang w:val="en-US" w:bidi="ar"/>
              </w:rPr>
              <w:t xml:space="preserve"> MIURA</w:t>
            </w:r>
          </w:p>
        </w:tc>
        <w:tc>
          <w:tcPr>
            <w:tcW w:w="5812" w:type="dxa"/>
          </w:tcPr>
          <w:p w:rsidR="0017546E" w:rsidRDefault="0017546E" w:rsidP="003A253B">
            <w:pPr>
              <w:rPr>
                <w:sz w:val="22"/>
                <w:szCs w:val="22"/>
              </w:rPr>
            </w:pPr>
            <w:r>
              <w:rPr>
                <w:sz w:val="22"/>
                <w:szCs w:val="22"/>
              </w:rPr>
              <w:t>Исследуемый материал: Сыворотка или плазма крови.</w:t>
            </w:r>
          </w:p>
          <w:p w:rsidR="0017546E" w:rsidRDefault="0017546E" w:rsidP="003A253B">
            <w:pPr>
              <w:rPr>
                <w:sz w:val="22"/>
                <w:szCs w:val="22"/>
              </w:rPr>
            </w:pPr>
            <w:r>
              <w:rPr>
                <w:sz w:val="22"/>
                <w:szCs w:val="22"/>
              </w:rPr>
              <w:t>Метод: колориметрический метод по конечной точке с осаждением; для ФЭК и полуавтоматических анализаторов.</w:t>
            </w:r>
          </w:p>
          <w:p w:rsidR="0017546E" w:rsidRDefault="0017546E" w:rsidP="003A253B">
            <w:pPr>
              <w:rPr>
                <w:sz w:val="22"/>
                <w:szCs w:val="22"/>
              </w:rPr>
            </w:pPr>
            <w:r>
              <w:rPr>
                <w:sz w:val="22"/>
                <w:szCs w:val="22"/>
              </w:rPr>
              <w:t xml:space="preserve">Длина волны: 405 (400 - 410) </w:t>
            </w:r>
            <w:proofErr w:type="spellStart"/>
            <w:r>
              <w:rPr>
                <w:sz w:val="22"/>
                <w:szCs w:val="22"/>
              </w:rPr>
              <w:t>нм</w:t>
            </w:r>
            <w:proofErr w:type="spellEnd"/>
            <w:r>
              <w:rPr>
                <w:sz w:val="22"/>
                <w:szCs w:val="22"/>
              </w:rPr>
              <w:t>.</w:t>
            </w:r>
          </w:p>
          <w:p w:rsidR="0017546E" w:rsidRDefault="0017546E" w:rsidP="003A253B">
            <w:pPr>
              <w:rPr>
                <w:sz w:val="22"/>
                <w:szCs w:val="22"/>
              </w:rPr>
            </w:pPr>
            <w:r>
              <w:rPr>
                <w:sz w:val="22"/>
                <w:szCs w:val="22"/>
              </w:rPr>
              <w:t xml:space="preserve">Линейность: от 50 до 200 </w:t>
            </w:r>
            <w:proofErr w:type="spellStart"/>
            <w:r>
              <w:rPr>
                <w:sz w:val="22"/>
                <w:szCs w:val="22"/>
              </w:rPr>
              <w:t>ммоль</w:t>
            </w:r>
            <w:proofErr w:type="spellEnd"/>
            <w:r>
              <w:rPr>
                <w:sz w:val="22"/>
                <w:szCs w:val="22"/>
              </w:rPr>
              <w:t>/л.</w:t>
            </w:r>
          </w:p>
          <w:p w:rsidR="0017546E" w:rsidRDefault="0017546E" w:rsidP="003A253B">
            <w:pPr>
              <w:rPr>
                <w:sz w:val="22"/>
                <w:szCs w:val="22"/>
              </w:rPr>
            </w:pPr>
            <w:r>
              <w:rPr>
                <w:sz w:val="22"/>
                <w:szCs w:val="22"/>
              </w:rPr>
              <w:t xml:space="preserve">Чувствительность: не более 25 </w:t>
            </w:r>
            <w:proofErr w:type="spellStart"/>
            <w:r>
              <w:rPr>
                <w:sz w:val="22"/>
                <w:szCs w:val="22"/>
              </w:rPr>
              <w:t>ммоль</w:t>
            </w:r>
            <w:proofErr w:type="spellEnd"/>
            <w:r>
              <w:rPr>
                <w:sz w:val="22"/>
                <w:szCs w:val="22"/>
              </w:rPr>
              <w:t>/л.</w:t>
            </w:r>
          </w:p>
          <w:p w:rsidR="0017546E" w:rsidRDefault="0017546E" w:rsidP="003A253B">
            <w:pPr>
              <w:rPr>
                <w:sz w:val="22"/>
                <w:szCs w:val="22"/>
              </w:rPr>
            </w:pPr>
            <w:r>
              <w:rPr>
                <w:sz w:val="22"/>
                <w:szCs w:val="22"/>
              </w:rPr>
              <w:t>Срок годности набора: 12 месяцев при +(18-25) ºС.</w:t>
            </w:r>
          </w:p>
          <w:p w:rsidR="0017546E" w:rsidRDefault="0017546E" w:rsidP="003A253B">
            <w:pPr>
              <w:rPr>
                <w:sz w:val="22"/>
                <w:szCs w:val="22"/>
              </w:rPr>
            </w:pPr>
            <w:r>
              <w:rPr>
                <w:sz w:val="22"/>
                <w:szCs w:val="22"/>
              </w:rPr>
              <w:t xml:space="preserve">Реагент 1 (осаждающий реагент): уксусная кислота 100 </w:t>
            </w:r>
            <w:proofErr w:type="spellStart"/>
            <w:r>
              <w:rPr>
                <w:sz w:val="22"/>
                <w:szCs w:val="22"/>
              </w:rPr>
              <w:t>ммоль</w:t>
            </w:r>
            <w:proofErr w:type="spellEnd"/>
            <w:r>
              <w:rPr>
                <w:sz w:val="22"/>
                <w:szCs w:val="22"/>
              </w:rPr>
              <w:t xml:space="preserve">/л; этиловый спирт 15,2 моль/л; ацетат магния 140 </w:t>
            </w:r>
            <w:proofErr w:type="spellStart"/>
            <w:r>
              <w:rPr>
                <w:sz w:val="22"/>
                <w:szCs w:val="22"/>
              </w:rPr>
              <w:t>ммоль</w:t>
            </w:r>
            <w:proofErr w:type="spellEnd"/>
            <w:r>
              <w:rPr>
                <w:sz w:val="22"/>
                <w:szCs w:val="22"/>
              </w:rPr>
              <w:t>/л. не менее 5 мл</w:t>
            </w:r>
          </w:p>
          <w:p w:rsidR="0017546E" w:rsidRDefault="0017546E" w:rsidP="003A253B">
            <w:pPr>
              <w:rPr>
                <w:sz w:val="22"/>
                <w:szCs w:val="22"/>
              </w:rPr>
            </w:pPr>
            <w:r>
              <w:rPr>
                <w:sz w:val="22"/>
                <w:szCs w:val="22"/>
              </w:rPr>
              <w:t>Реагент 2 (</w:t>
            </w:r>
            <w:proofErr w:type="spellStart"/>
            <w:r>
              <w:rPr>
                <w:sz w:val="22"/>
                <w:szCs w:val="22"/>
              </w:rPr>
              <w:t>тиогликолят</w:t>
            </w:r>
            <w:proofErr w:type="spellEnd"/>
            <w:r>
              <w:rPr>
                <w:sz w:val="22"/>
                <w:szCs w:val="22"/>
              </w:rPr>
              <w:t xml:space="preserve"> аммония): аммиак 1,1 моль/л; тиогликолевая кислота 0,5 моль/л. не менее 100 мл</w:t>
            </w:r>
          </w:p>
          <w:p w:rsidR="0017546E" w:rsidRDefault="0017546E" w:rsidP="003A253B">
            <w:pPr>
              <w:textAlignment w:val="top"/>
              <w:rPr>
                <w:sz w:val="22"/>
                <w:szCs w:val="22"/>
              </w:rPr>
            </w:pPr>
            <w:r>
              <w:rPr>
                <w:sz w:val="22"/>
                <w:szCs w:val="22"/>
              </w:rPr>
              <w:t xml:space="preserve">Калибратор: калибровочный раствор хлорида натрия 150 </w:t>
            </w:r>
            <w:proofErr w:type="spellStart"/>
            <w:r>
              <w:rPr>
                <w:sz w:val="22"/>
                <w:szCs w:val="22"/>
              </w:rPr>
              <w:t>ммоль</w:t>
            </w:r>
            <w:proofErr w:type="spellEnd"/>
            <w:r>
              <w:rPr>
                <w:sz w:val="22"/>
                <w:szCs w:val="22"/>
              </w:rPr>
              <w:t>/л. не менее 1,0мл.</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14</w:t>
            </w:r>
          </w:p>
        </w:tc>
      </w:tr>
      <w:tr w:rsidR="0017546E" w:rsidRPr="003A2B58" w:rsidTr="003A253B">
        <w:trPr>
          <w:jc w:val="center"/>
        </w:trPr>
        <w:tc>
          <w:tcPr>
            <w:tcW w:w="623" w:type="dxa"/>
            <w:shd w:val="clear" w:color="auto" w:fill="auto"/>
          </w:tcPr>
          <w:p w:rsidR="0017546E" w:rsidRDefault="0017546E" w:rsidP="0017546E">
            <w:pPr>
              <w:jc w:val="center"/>
              <w:rPr>
                <w:b/>
                <w:sz w:val="22"/>
                <w:szCs w:val="22"/>
              </w:rPr>
            </w:pPr>
            <w:r>
              <w:rPr>
                <w:b/>
                <w:sz w:val="22"/>
                <w:szCs w:val="22"/>
              </w:rPr>
              <w:t>20</w:t>
            </w:r>
          </w:p>
        </w:tc>
        <w:tc>
          <w:tcPr>
            <w:tcW w:w="1924" w:type="dxa"/>
            <w:tcBorders>
              <w:top w:val="single" w:sz="4" w:space="0" w:color="000000"/>
              <w:left w:val="single" w:sz="4" w:space="0" w:color="000000"/>
              <w:bottom w:val="single" w:sz="4" w:space="0" w:color="000000"/>
              <w:right w:val="single" w:sz="4" w:space="0" w:color="000000"/>
            </w:tcBorders>
            <w:shd w:val="clear" w:color="FFFFCC" w:fill="FFFFFF"/>
          </w:tcPr>
          <w:p w:rsidR="0017546E" w:rsidRPr="00062303" w:rsidRDefault="0017546E" w:rsidP="003A253B">
            <w:pPr>
              <w:textAlignment w:val="center"/>
              <w:rPr>
                <w:rFonts w:eastAsia="Arial Cyr"/>
                <w:color w:val="000000"/>
                <w:sz w:val="22"/>
                <w:szCs w:val="22"/>
                <w:lang w:bidi="ar"/>
              </w:rPr>
            </w:pPr>
            <w:r w:rsidRPr="00062303">
              <w:rPr>
                <w:rFonts w:eastAsia="Arial Cyr"/>
                <w:color w:val="000000"/>
                <w:sz w:val="22"/>
                <w:szCs w:val="22"/>
                <w:lang w:bidi="ar"/>
              </w:rPr>
              <w:t>Контрольная сыворотка</w:t>
            </w:r>
          </w:p>
          <w:p w:rsidR="0017546E" w:rsidRPr="00062303" w:rsidRDefault="0017546E" w:rsidP="003A253B">
            <w:pPr>
              <w:textAlignment w:val="center"/>
              <w:rPr>
                <w:rFonts w:eastAsia="Arial Cyr"/>
                <w:color w:val="000000"/>
                <w:sz w:val="22"/>
                <w:szCs w:val="22"/>
                <w:lang w:bidi="ar"/>
              </w:rPr>
            </w:pPr>
            <w:r w:rsidRPr="00062303">
              <w:rPr>
                <w:rFonts w:eastAsia="Arial Cyr"/>
                <w:color w:val="000000"/>
                <w:sz w:val="22"/>
                <w:szCs w:val="22"/>
                <w:lang w:bidi="ar"/>
              </w:rPr>
              <w:t xml:space="preserve">для автоматического анализатора </w:t>
            </w:r>
            <w:r>
              <w:rPr>
                <w:rFonts w:eastAsia="Arial Cyr"/>
                <w:color w:val="000000"/>
                <w:sz w:val="22"/>
                <w:szCs w:val="22"/>
                <w:lang w:val="en-US" w:bidi="ar"/>
              </w:rPr>
              <w:t>MIURA</w:t>
            </w:r>
          </w:p>
        </w:tc>
        <w:tc>
          <w:tcPr>
            <w:tcW w:w="5812" w:type="dxa"/>
          </w:tcPr>
          <w:p w:rsidR="0017546E" w:rsidRDefault="0017546E" w:rsidP="003A253B">
            <w:pPr>
              <w:rPr>
                <w:sz w:val="22"/>
                <w:szCs w:val="22"/>
              </w:rPr>
            </w:pPr>
            <w:r>
              <w:rPr>
                <w:sz w:val="22"/>
                <w:szCs w:val="22"/>
              </w:rPr>
              <w:t>Набор контрольных сывороток</w:t>
            </w:r>
          </w:p>
          <w:p w:rsidR="0017546E" w:rsidRDefault="0017546E" w:rsidP="003A253B">
            <w:pPr>
              <w:rPr>
                <w:sz w:val="22"/>
                <w:szCs w:val="22"/>
              </w:rPr>
            </w:pPr>
            <w:r>
              <w:rPr>
                <w:sz w:val="22"/>
                <w:szCs w:val="22"/>
              </w:rPr>
              <w:t xml:space="preserve"> для биохимических исследований</w:t>
            </w:r>
          </w:p>
          <w:p w:rsidR="0017546E" w:rsidRDefault="0017546E" w:rsidP="003A253B">
            <w:pPr>
              <w:rPr>
                <w:sz w:val="22"/>
                <w:szCs w:val="22"/>
              </w:rPr>
            </w:pPr>
            <w:r>
              <w:rPr>
                <w:sz w:val="22"/>
                <w:szCs w:val="22"/>
              </w:rPr>
              <w:t xml:space="preserve">Предназначен для проведения </w:t>
            </w:r>
            <w:proofErr w:type="spellStart"/>
            <w:r>
              <w:rPr>
                <w:sz w:val="22"/>
                <w:szCs w:val="22"/>
              </w:rPr>
              <w:t>внутрилабораторного</w:t>
            </w:r>
            <w:proofErr w:type="spellEnd"/>
            <w:r>
              <w:rPr>
                <w:sz w:val="22"/>
                <w:szCs w:val="22"/>
              </w:rPr>
              <w:t xml:space="preserve"> контроля качества количественных методик определения следующих параметров: Субстраты: альбумин, глюкоза, </w:t>
            </w:r>
            <w:proofErr w:type="spellStart"/>
            <w:r>
              <w:rPr>
                <w:sz w:val="22"/>
                <w:szCs w:val="22"/>
              </w:rPr>
              <w:t>креатинин</w:t>
            </w:r>
            <w:proofErr w:type="spellEnd"/>
            <w:r>
              <w:rPr>
                <w:sz w:val="22"/>
                <w:szCs w:val="22"/>
              </w:rPr>
              <w:t xml:space="preserve">, молочная кислота, мочевая кислота, мочевина, </w:t>
            </w:r>
            <w:r>
              <w:rPr>
                <w:sz w:val="22"/>
                <w:szCs w:val="22"/>
              </w:rPr>
              <w:lastRenderedPageBreak/>
              <w:t xml:space="preserve">общий белок, общий </w:t>
            </w:r>
            <w:proofErr w:type="gramStart"/>
            <w:r>
              <w:rPr>
                <w:sz w:val="22"/>
                <w:szCs w:val="22"/>
              </w:rPr>
              <w:t>би-</w:t>
            </w:r>
            <w:proofErr w:type="spellStart"/>
            <w:r>
              <w:rPr>
                <w:sz w:val="22"/>
                <w:szCs w:val="22"/>
              </w:rPr>
              <w:t>лирубин</w:t>
            </w:r>
            <w:proofErr w:type="spellEnd"/>
            <w:proofErr w:type="gramEnd"/>
            <w:r>
              <w:rPr>
                <w:sz w:val="22"/>
                <w:szCs w:val="22"/>
              </w:rPr>
              <w:t>, прямой билирубин;</w:t>
            </w:r>
          </w:p>
          <w:p w:rsidR="0017546E" w:rsidRDefault="0017546E" w:rsidP="003A253B">
            <w:pPr>
              <w:rPr>
                <w:sz w:val="22"/>
                <w:szCs w:val="22"/>
              </w:rPr>
            </w:pPr>
            <w:r>
              <w:rPr>
                <w:sz w:val="22"/>
                <w:szCs w:val="22"/>
              </w:rPr>
              <w:t>Липиды: триглицериды, холестерин общий, холестерин ЛПВП, холестерин ЛПНП, фосфолипиды;</w:t>
            </w:r>
          </w:p>
          <w:p w:rsidR="0017546E" w:rsidRDefault="0017546E" w:rsidP="003A253B">
            <w:pPr>
              <w:rPr>
                <w:sz w:val="22"/>
                <w:szCs w:val="22"/>
              </w:rPr>
            </w:pPr>
            <w:r>
              <w:rPr>
                <w:sz w:val="22"/>
                <w:szCs w:val="22"/>
              </w:rPr>
              <w:t xml:space="preserve">Электролиты: железо, ОЖСС (общая </w:t>
            </w:r>
            <w:proofErr w:type="spellStart"/>
            <w:r>
              <w:rPr>
                <w:sz w:val="22"/>
                <w:szCs w:val="22"/>
              </w:rPr>
              <w:t>железосвязывающая</w:t>
            </w:r>
            <w:proofErr w:type="spellEnd"/>
            <w:r>
              <w:rPr>
                <w:sz w:val="22"/>
                <w:szCs w:val="22"/>
              </w:rPr>
              <w:t xml:space="preserve"> способность), калий, кальций, литий, магний, медь, натрий, фосфор неорганический, хлориды, цинк;</w:t>
            </w:r>
          </w:p>
          <w:p w:rsidR="0017546E" w:rsidRDefault="0017546E" w:rsidP="003A253B">
            <w:pPr>
              <w:rPr>
                <w:sz w:val="22"/>
                <w:szCs w:val="22"/>
              </w:rPr>
            </w:pPr>
            <w:r>
              <w:rPr>
                <w:sz w:val="22"/>
                <w:szCs w:val="22"/>
              </w:rPr>
              <w:t xml:space="preserve">Ферменты: α-амилаза, </w:t>
            </w:r>
            <w:proofErr w:type="spellStart"/>
            <w:r>
              <w:rPr>
                <w:sz w:val="22"/>
                <w:szCs w:val="22"/>
              </w:rPr>
              <w:t>аланинаминотрасфераза</w:t>
            </w:r>
            <w:proofErr w:type="spellEnd"/>
            <w:r>
              <w:rPr>
                <w:sz w:val="22"/>
                <w:szCs w:val="22"/>
              </w:rPr>
              <w:t xml:space="preserve">, </w:t>
            </w:r>
            <w:proofErr w:type="spellStart"/>
            <w:r>
              <w:rPr>
                <w:sz w:val="22"/>
                <w:szCs w:val="22"/>
              </w:rPr>
              <w:t>аспартатаминотрансфераза</w:t>
            </w:r>
            <w:proofErr w:type="spellEnd"/>
            <w:r>
              <w:rPr>
                <w:sz w:val="22"/>
                <w:szCs w:val="22"/>
              </w:rPr>
              <w:t>, α-</w:t>
            </w:r>
            <w:proofErr w:type="spellStart"/>
            <w:r>
              <w:rPr>
                <w:sz w:val="22"/>
                <w:szCs w:val="22"/>
              </w:rPr>
              <w:t>гидроксибутиратдегидроксиге-наза</w:t>
            </w:r>
            <w:proofErr w:type="spellEnd"/>
            <w:r>
              <w:rPr>
                <w:sz w:val="22"/>
                <w:szCs w:val="22"/>
              </w:rPr>
              <w:t>, γ-</w:t>
            </w:r>
            <w:proofErr w:type="spellStart"/>
            <w:r>
              <w:rPr>
                <w:sz w:val="22"/>
                <w:szCs w:val="22"/>
              </w:rPr>
              <w:t>глутамилтрансфераза</w:t>
            </w:r>
            <w:proofErr w:type="spellEnd"/>
            <w:r>
              <w:rPr>
                <w:sz w:val="22"/>
                <w:szCs w:val="22"/>
              </w:rPr>
              <w:t xml:space="preserve">, кислая фосфатаза общая, кислая фосфатаза простатическая, </w:t>
            </w:r>
            <w:proofErr w:type="spellStart"/>
            <w:r>
              <w:rPr>
                <w:sz w:val="22"/>
                <w:szCs w:val="22"/>
              </w:rPr>
              <w:t>креатинкиназа</w:t>
            </w:r>
            <w:proofErr w:type="spellEnd"/>
            <w:r>
              <w:rPr>
                <w:sz w:val="22"/>
                <w:szCs w:val="22"/>
              </w:rPr>
              <w:t xml:space="preserve"> общая, </w:t>
            </w:r>
            <w:proofErr w:type="spellStart"/>
            <w:r>
              <w:rPr>
                <w:sz w:val="22"/>
                <w:szCs w:val="22"/>
              </w:rPr>
              <w:t>лактатдегидрогеназа</w:t>
            </w:r>
            <w:proofErr w:type="spellEnd"/>
            <w:r>
              <w:rPr>
                <w:sz w:val="22"/>
                <w:szCs w:val="22"/>
              </w:rPr>
              <w:t xml:space="preserve">, липаза, </w:t>
            </w:r>
            <w:proofErr w:type="spellStart"/>
            <w:r>
              <w:rPr>
                <w:sz w:val="22"/>
                <w:szCs w:val="22"/>
              </w:rPr>
              <w:t>холинэстераза</w:t>
            </w:r>
            <w:proofErr w:type="spellEnd"/>
            <w:r>
              <w:rPr>
                <w:sz w:val="22"/>
                <w:szCs w:val="22"/>
              </w:rPr>
              <w:t>, щелочная фосфатаза.</w:t>
            </w:r>
          </w:p>
          <w:p w:rsidR="0017546E" w:rsidRDefault="0017546E" w:rsidP="003A253B">
            <w:pPr>
              <w:rPr>
                <w:sz w:val="22"/>
                <w:szCs w:val="22"/>
              </w:rPr>
            </w:pPr>
            <w:r>
              <w:rPr>
                <w:sz w:val="22"/>
                <w:szCs w:val="22"/>
              </w:rPr>
              <w:t xml:space="preserve">Условия </w:t>
            </w:r>
            <w:proofErr w:type="gramStart"/>
            <w:r>
              <w:rPr>
                <w:sz w:val="22"/>
                <w:szCs w:val="22"/>
              </w:rPr>
              <w:t>хранения:  при</w:t>
            </w:r>
            <w:proofErr w:type="gramEnd"/>
            <w:r>
              <w:rPr>
                <w:sz w:val="22"/>
                <w:szCs w:val="22"/>
              </w:rPr>
              <w:t xml:space="preserve"> +(2-8) ºС. </w:t>
            </w:r>
          </w:p>
          <w:p w:rsidR="0017546E" w:rsidRDefault="0017546E" w:rsidP="003A253B">
            <w:pPr>
              <w:rPr>
                <w:sz w:val="22"/>
                <w:szCs w:val="22"/>
              </w:rPr>
            </w:pPr>
            <w:r>
              <w:rPr>
                <w:sz w:val="22"/>
                <w:szCs w:val="22"/>
              </w:rPr>
              <w:t xml:space="preserve">Контрольная сыворотка N (нормальный уровень) 1 </w:t>
            </w:r>
            <w:proofErr w:type="spellStart"/>
            <w:r>
              <w:rPr>
                <w:sz w:val="22"/>
                <w:szCs w:val="22"/>
              </w:rPr>
              <w:t>фл</w:t>
            </w:r>
            <w:proofErr w:type="spellEnd"/>
            <w:r>
              <w:rPr>
                <w:sz w:val="22"/>
                <w:szCs w:val="22"/>
              </w:rPr>
              <w:t xml:space="preserve">. х 5 мл; Контрольная сыворотка Р (патологический уровень) 1 </w:t>
            </w:r>
            <w:proofErr w:type="spellStart"/>
            <w:r>
              <w:rPr>
                <w:sz w:val="22"/>
                <w:szCs w:val="22"/>
              </w:rPr>
              <w:t>фл</w:t>
            </w:r>
            <w:proofErr w:type="spellEnd"/>
            <w:r>
              <w:rPr>
                <w:sz w:val="22"/>
                <w:szCs w:val="22"/>
              </w:rPr>
              <w:t xml:space="preserve">. х 5 мл. Контрольная сыворотка представляет собой </w:t>
            </w:r>
            <w:proofErr w:type="spellStart"/>
            <w:r>
              <w:rPr>
                <w:sz w:val="22"/>
                <w:szCs w:val="22"/>
              </w:rPr>
              <w:t>лиофилизированный</w:t>
            </w:r>
            <w:proofErr w:type="spellEnd"/>
            <w:r>
              <w:rPr>
                <w:sz w:val="22"/>
                <w:szCs w:val="22"/>
              </w:rPr>
              <w:t xml:space="preserve"> препарат на основе сыворотки крови доноров, содержащий химические добавки, добавки биологического происхождения и консервант.</w:t>
            </w:r>
          </w:p>
        </w:tc>
        <w:tc>
          <w:tcPr>
            <w:tcW w:w="851" w:type="dxa"/>
            <w:shd w:val="clear" w:color="auto" w:fill="auto"/>
          </w:tcPr>
          <w:p w:rsidR="0017546E" w:rsidRDefault="0017546E" w:rsidP="0017546E">
            <w:pPr>
              <w:jc w:val="center"/>
              <w:textAlignment w:val="center"/>
              <w:rPr>
                <w:sz w:val="22"/>
                <w:szCs w:val="22"/>
              </w:rPr>
            </w:pPr>
            <w:proofErr w:type="spellStart"/>
            <w:r>
              <w:rPr>
                <w:rFonts w:eastAsia="Arial Cyr"/>
                <w:color w:val="000000"/>
                <w:sz w:val="22"/>
                <w:szCs w:val="22"/>
                <w:lang w:val="en-US" w:bidi="ar"/>
              </w:rPr>
              <w:lastRenderedPageBreak/>
              <w:t>набор</w:t>
            </w:r>
            <w:proofErr w:type="spellEnd"/>
          </w:p>
        </w:tc>
        <w:tc>
          <w:tcPr>
            <w:tcW w:w="748" w:type="dxa"/>
            <w:shd w:val="clear" w:color="auto" w:fill="auto"/>
          </w:tcPr>
          <w:p w:rsidR="0017546E" w:rsidRDefault="0017546E" w:rsidP="0017546E">
            <w:pPr>
              <w:jc w:val="center"/>
              <w:textAlignment w:val="bottom"/>
              <w:rPr>
                <w:sz w:val="22"/>
                <w:szCs w:val="22"/>
              </w:rPr>
            </w:pPr>
            <w:r>
              <w:rPr>
                <w:rFonts w:eastAsia="Arial Cyr"/>
                <w:color w:val="000000"/>
                <w:sz w:val="22"/>
                <w:szCs w:val="22"/>
                <w:lang w:val="en-US" w:bidi="ar"/>
              </w:rPr>
              <w:t>2</w:t>
            </w:r>
          </w:p>
        </w:tc>
      </w:tr>
    </w:tbl>
    <w:p w:rsidR="00032BA3" w:rsidRDefault="00032BA3" w:rsidP="002C4382">
      <w:pPr>
        <w:jc w:val="center"/>
        <w:rPr>
          <w:b/>
        </w:rPr>
      </w:pPr>
    </w:p>
    <w:p w:rsidR="00E35E79" w:rsidRDefault="00E35E79" w:rsidP="005E46AA">
      <w:pPr>
        <w:ind w:firstLine="567"/>
        <w:jc w:val="both"/>
        <w:rPr>
          <w:rFonts w:eastAsia="Calibri"/>
          <w:b/>
          <w:lang w:eastAsia="ru-RU"/>
        </w:rPr>
      </w:pPr>
    </w:p>
    <w:p w:rsidR="00E35E79" w:rsidRDefault="00E35E79" w:rsidP="005E46AA">
      <w:pPr>
        <w:ind w:firstLine="567"/>
        <w:jc w:val="both"/>
        <w:rPr>
          <w:rFonts w:eastAsia="Calibri"/>
          <w:b/>
          <w:lang w:eastAsia="ru-RU"/>
        </w:rPr>
      </w:pPr>
    </w:p>
    <w:p w:rsidR="00E35E79" w:rsidRDefault="00E35E79" w:rsidP="005E46AA">
      <w:pPr>
        <w:ind w:firstLine="567"/>
        <w:jc w:val="both"/>
        <w:rPr>
          <w:rFonts w:eastAsia="Calibri"/>
          <w:b/>
          <w:lang w:eastAsia="ru-RU"/>
        </w:rPr>
      </w:pPr>
    </w:p>
    <w:p w:rsidR="00E35E79" w:rsidRDefault="00E35E79" w:rsidP="005E46AA">
      <w:pPr>
        <w:ind w:firstLine="567"/>
        <w:jc w:val="both"/>
        <w:rPr>
          <w:rFonts w:eastAsia="Calibri"/>
          <w:b/>
          <w:lang w:eastAsia="ru-RU"/>
        </w:rPr>
      </w:pPr>
    </w:p>
    <w:p w:rsidR="00E35E79" w:rsidRDefault="00E35E79" w:rsidP="005E46AA">
      <w:pPr>
        <w:ind w:firstLine="567"/>
        <w:jc w:val="both"/>
        <w:rPr>
          <w:rFonts w:eastAsia="Calibri"/>
          <w:b/>
          <w:lang w:eastAsia="ru-RU"/>
        </w:rPr>
      </w:pPr>
    </w:p>
    <w:p w:rsidR="00E35E79" w:rsidRDefault="00E35E79" w:rsidP="005E46AA">
      <w:pPr>
        <w:ind w:firstLine="567"/>
        <w:jc w:val="both"/>
        <w:rPr>
          <w:rFonts w:eastAsia="Calibri"/>
          <w:b/>
          <w:lang w:eastAsia="ru-RU"/>
        </w:rPr>
      </w:pPr>
    </w:p>
    <w:p w:rsidR="00E35E79" w:rsidRDefault="00E35E79"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B01F25" w:rsidRDefault="00B01F25" w:rsidP="005E46AA">
      <w:pPr>
        <w:ind w:firstLine="567"/>
        <w:jc w:val="both"/>
        <w:rPr>
          <w:rFonts w:eastAsia="Calibri"/>
          <w:b/>
          <w:lang w:eastAsia="ru-RU"/>
        </w:rPr>
      </w:pPr>
    </w:p>
    <w:p w:rsidR="00276A3D" w:rsidRDefault="00276A3D" w:rsidP="005E46AA">
      <w:pPr>
        <w:ind w:firstLine="567"/>
        <w:jc w:val="both"/>
        <w:rPr>
          <w:rFonts w:eastAsia="Calibri"/>
          <w:b/>
          <w:lang w:eastAsia="ru-RU"/>
        </w:rPr>
      </w:pPr>
    </w:p>
    <w:p w:rsidR="00E35E79" w:rsidRDefault="00E35E79" w:rsidP="00E35E79">
      <w:pPr>
        <w:ind w:firstLine="567"/>
        <w:jc w:val="center"/>
        <w:rPr>
          <w:rFonts w:eastAsia="Calibri"/>
          <w:b/>
          <w:lang w:eastAsia="ru-RU"/>
        </w:rPr>
      </w:pPr>
      <w:r>
        <w:rPr>
          <w:rFonts w:eastAsia="Calibri"/>
          <w:b/>
          <w:lang w:eastAsia="ru-RU"/>
        </w:rPr>
        <w:lastRenderedPageBreak/>
        <w:t>УСЛОВИЯ ЗАКУПКИ</w:t>
      </w:r>
    </w:p>
    <w:tbl>
      <w:tblPr>
        <w:tblStyle w:val="a5"/>
        <w:tblW w:w="0" w:type="auto"/>
        <w:tblLook w:val="04A0" w:firstRow="1" w:lastRow="0" w:firstColumn="1" w:lastColumn="0" w:noHBand="0" w:noVBand="1"/>
      </w:tblPr>
      <w:tblGrid>
        <w:gridCol w:w="3114"/>
        <w:gridCol w:w="7082"/>
      </w:tblGrid>
      <w:tr w:rsidR="0001147F" w:rsidRPr="0001147F" w:rsidTr="00E35E79">
        <w:tc>
          <w:tcPr>
            <w:tcW w:w="3114" w:type="dxa"/>
          </w:tcPr>
          <w:p w:rsidR="00E35E79" w:rsidRPr="0001147F" w:rsidRDefault="00E35E79" w:rsidP="008D1D3F">
            <w:pPr>
              <w:jc w:val="both"/>
              <w:rPr>
                <w:rFonts w:eastAsia="Calibri"/>
                <w:b/>
                <w:sz w:val="22"/>
                <w:szCs w:val="22"/>
                <w:lang w:eastAsia="ru-RU"/>
              </w:rPr>
            </w:pPr>
            <w:r w:rsidRPr="0001147F">
              <w:rPr>
                <w:rFonts w:eastAsia="Calibri"/>
                <w:b/>
                <w:sz w:val="22"/>
                <w:szCs w:val="22"/>
                <w:lang w:eastAsia="ru-RU"/>
              </w:rPr>
              <w:t>Начальная максимальная цена договора, порядок формирования цены:</w:t>
            </w:r>
          </w:p>
        </w:tc>
        <w:tc>
          <w:tcPr>
            <w:tcW w:w="7082" w:type="dxa"/>
          </w:tcPr>
          <w:p w:rsidR="00E35E79" w:rsidRPr="0001147F" w:rsidRDefault="00C53155" w:rsidP="008D1D3F">
            <w:pPr>
              <w:spacing w:after="13"/>
              <w:ind w:right="107"/>
              <w:jc w:val="both"/>
              <w:rPr>
                <w:sz w:val="22"/>
                <w:szCs w:val="22"/>
              </w:rPr>
            </w:pPr>
            <w:r w:rsidRPr="0001147F">
              <w:rPr>
                <w:sz w:val="22"/>
                <w:szCs w:val="22"/>
              </w:rPr>
              <w:t>596 327</w:t>
            </w:r>
            <w:r w:rsidR="00F45FD6" w:rsidRPr="0001147F">
              <w:rPr>
                <w:sz w:val="22"/>
                <w:szCs w:val="22"/>
              </w:rPr>
              <w:t xml:space="preserve"> </w:t>
            </w:r>
            <w:r w:rsidR="00E35E79" w:rsidRPr="0001147F">
              <w:rPr>
                <w:sz w:val="22"/>
                <w:szCs w:val="22"/>
              </w:rPr>
              <w:t>(</w:t>
            </w:r>
            <w:r w:rsidRPr="0001147F">
              <w:rPr>
                <w:sz w:val="22"/>
                <w:szCs w:val="22"/>
              </w:rPr>
              <w:t>пятьсот девяносто шесть тысяч триста двадцать семь</w:t>
            </w:r>
            <w:r w:rsidR="00E35E79" w:rsidRPr="0001147F">
              <w:rPr>
                <w:sz w:val="22"/>
                <w:szCs w:val="22"/>
              </w:rPr>
              <w:t xml:space="preserve">) рублей </w:t>
            </w:r>
            <w:r w:rsidR="00F45FD6" w:rsidRPr="0001147F">
              <w:rPr>
                <w:sz w:val="22"/>
                <w:szCs w:val="22"/>
              </w:rPr>
              <w:t>26</w:t>
            </w:r>
            <w:r w:rsidR="00E35E79" w:rsidRPr="0001147F">
              <w:rPr>
                <w:sz w:val="22"/>
                <w:szCs w:val="22"/>
              </w:rPr>
              <w:t xml:space="preserve"> копе</w:t>
            </w:r>
            <w:r w:rsidR="00F45FD6" w:rsidRPr="0001147F">
              <w:rPr>
                <w:sz w:val="22"/>
                <w:szCs w:val="22"/>
              </w:rPr>
              <w:t>ек</w:t>
            </w:r>
          </w:p>
          <w:p w:rsidR="00E35E79" w:rsidRPr="0001147F" w:rsidRDefault="00841D13" w:rsidP="008D1D3F">
            <w:pPr>
              <w:jc w:val="both"/>
              <w:rPr>
                <w:rFonts w:eastAsia="Calibri"/>
                <w:sz w:val="22"/>
                <w:szCs w:val="22"/>
                <w:lang w:eastAsia="ru-RU"/>
              </w:rPr>
            </w:pPr>
            <w:r w:rsidRPr="0001147F">
              <w:rPr>
                <w:rFonts w:eastAsia="Calibri"/>
                <w:sz w:val="22"/>
                <w:szCs w:val="22"/>
                <w:lang w:eastAsia="ru-RU"/>
              </w:rPr>
              <w:t>Начальная (максимальная) цена договора определялась методом сопоставимых рыночных цен (анализа рынка).</w:t>
            </w:r>
          </w:p>
        </w:tc>
      </w:tr>
      <w:tr w:rsidR="00E35E79" w:rsidRPr="00841D13" w:rsidTr="00E35E79">
        <w:tc>
          <w:tcPr>
            <w:tcW w:w="3114" w:type="dxa"/>
          </w:tcPr>
          <w:p w:rsidR="00E35E79" w:rsidRPr="00841D13" w:rsidRDefault="00E35E79" w:rsidP="008D1D3F">
            <w:pPr>
              <w:pStyle w:val="Standard"/>
              <w:tabs>
                <w:tab w:val="left" w:pos="284"/>
              </w:tabs>
              <w:jc w:val="both"/>
              <w:rPr>
                <w:b/>
                <w:color w:val="000000" w:themeColor="text1"/>
                <w:sz w:val="22"/>
                <w:szCs w:val="22"/>
              </w:rPr>
            </w:pPr>
            <w:r w:rsidRPr="00841D13">
              <w:rPr>
                <w:b/>
                <w:color w:val="000000" w:themeColor="text1"/>
                <w:sz w:val="22"/>
                <w:szCs w:val="22"/>
              </w:rPr>
              <w:t xml:space="preserve">Стоимость товара включает: </w:t>
            </w:r>
          </w:p>
          <w:p w:rsidR="00E35E79" w:rsidRPr="00841D13" w:rsidRDefault="00E35E79" w:rsidP="008D1D3F">
            <w:pPr>
              <w:jc w:val="both"/>
              <w:rPr>
                <w:rFonts w:eastAsia="Calibri"/>
                <w:b/>
                <w:sz w:val="22"/>
                <w:szCs w:val="22"/>
                <w:lang w:eastAsia="ru-RU"/>
              </w:rPr>
            </w:pPr>
          </w:p>
        </w:tc>
        <w:tc>
          <w:tcPr>
            <w:tcW w:w="7082" w:type="dxa"/>
          </w:tcPr>
          <w:p w:rsidR="00E35E79" w:rsidRPr="00841D13" w:rsidRDefault="00B41C74" w:rsidP="008D1D3F">
            <w:pPr>
              <w:pStyle w:val="Standard"/>
              <w:tabs>
                <w:tab w:val="left" w:pos="284"/>
              </w:tabs>
              <w:jc w:val="both"/>
              <w:rPr>
                <w:sz w:val="22"/>
                <w:szCs w:val="22"/>
              </w:rPr>
            </w:pPr>
            <w:r w:rsidRPr="00841D13">
              <w:rPr>
                <w:sz w:val="22"/>
                <w:szCs w:val="22"/>
              </w:rPr>
              <w:t>Включает все налоги и сборы, которые обязан уплатить участник закупки в соответствии с применяемой им системой налогообложения, с</w:t>
            </w:r>
            <w:r w:rsidR="00E35E79" w:rsidRPr="00841D13">
              <w:rPr>
                <w:sz w:val="22"/>
                <w:szCs w:val="22"/>
              </w:rPr>
              <w:t>тоимость транспортных расходов Поставщика по доставке Товара Покупателю, а также любых других расходов, которые возникнут или могут возникнуть в ходе исполнения Договора.</w:t>
            </w:r>
          </w:p>
          <w:p w:rsidR="00E35E79" w:rsidRPr="00841D13" w:rsidRDefault="00E35E79" w:rsidP="008D1D3F">
            <w:pPr>
              <w:pStyle w:val="Standard"/>
              <w:tabs>
                <w:tab w:val="left" w:pos="284"/>
              </w:tabs>
              <w:jc w:val="both"/>
              <w:rPr>
                <w:sz w:val="22"/>
                <w:szCs w:val="22"/>
              </w:rPr>
            </w:pPr>
            <w:r w:rsidRPr="00841D13">
              <w:rPr>
                <w:sz w:val="22"/>
                <w:szCs w:val="22"/>
              </w:rPr>
              <w:t>Цена единицы товара является фиксированной и изменению в течение срока действия договора не подлежит.</w:t>
            </w:r>
          </w:p>
          <w:p w:rsidR="00E35E79" w:rsidRPr="00841D13" w:rsidRDefault="00B41C74" w:rsidP="008D1D3F">
            <w:pPr>
              <w:jc w:val="both"/>
              <w:rPr>
                <w:rFonts w:eastAsia="Calibri"/>
                <w:sz w:val="22"/>
                <w:szCs w:val="22"/>
                <w:lang w:eastAsia="ru-RU"/>
              </w:rPr>
            </w:pPr>
            <w:r w:rsidRPr="00841D13">
              <w:rPr>
                <w:rFonts w:eastAsia="Calibri"/>
                <w:sz w:val="22"/>
                <w:szCs w:val="22"/>
                <w:lang w:eastAsia="ru-RU"/>
              </w:rPr>
              <w:t>Договор заключается по цене, предложенной победителем закупки. Цена договора на сумму НДС не уменьшается.</w:t>
            </w:r>
          </w:p>
        </w:tc>
      </w:tr>
      <w:tr w:rsidR="00F45FD6" w:rsidRPr="00F45FD6" w:rsidTr="00E35E79">
        <w:tc>
          <w:tcPr>
            <w:tcW w:w="3114" w:type="dxa"/>
          </w:tcPr>
          <w:p w:rsidR="00E35E79" w:rsidRPr="00F45FD6" w:rsidRDefault="00E35E79" w:rsidP="008D1D3F">
            <w:pPr>
              <w:pStyle w:val="2"/>
              <w:spacing w:after="0"/>
              <w:ind w:left="0" w:firstLine="0"/>
              <w:jc w:val="both"/>
              <w:rPr>
                <w:b/>
                <w:sz w:val="22"/>
                <w:szCs w:val="22"/>
              </w:rPr>
            </w:pPr>
            <w:r w:rsidRPr="00F45FD6">
              <w:rPr>
                <w:b/>
                <w:sz w:val="22"/>
                <w:szCs w:val="22"/>
              </w:rPr>
              <w:t>Срок поставки товара:</w:t>
            </w:r>
          </w:p>
          <w:p w:rsidR="00E35E79" w:rsidRPr="00F45FD6" w:rsidRDefault="00E35E79" w:rsidP="008D1D3F">
            <w:pPr>
              <w:jc w:val="both"/>
              <w:rPr>
                <w:rFonts w:eastAsia="Calibri"/>
                <w:b/>
                <w:sz w:val="22"/>
                <w:szCs w:val="22"/>
                <w:lang w:eastAsia="ru-RU"/>
              </w:rPr>
            </w:pPr>
          </w:p>
        </w:tc>
        <w:tc>
          <w:tcPr>
            <w:tcW w:w="7082" w:type="dxa"/>
          </w:tcPr>
          <w:p w:rsidR="00E35E79" w:rsidRPr="00F45FD6" w:rsidRDefault="00276A3D" w:rsidP="008D1D3F">
            <w:pPr>
              <w:jc w:val="both"/>
              <w:rPr>
                <w:rFonts w:eastAsia="Calibri"/>
                <w:b/>
                <w:sz w:val="22"/>
                <w:szCs w:val="22"/>
                <w:lang w:eastAsia="ru-RU"/>
              </w:rPr>
            </w:pPr>
            <w:r w:rsidRPr="00F45FD6">
              <w:rPr>
                <w:rFonts w:eastAsia="Calibri"/>
                <w:b/>
                <w:sz w:val="22"/>
                <w:szCs w:val="22"/>
                <w:lang w:eastAsia="ru-RU"/>
              </w:rPr>
              <w:t>Пункт 1.2 Проекта Договора</w:t>
            </w:r>
          </w:p>
        </w:tc>
      </w:tr>
      <w:tr w:rsidR="00F45FD6" w:rsidRPr="00F45FD6" w:rsidTr="00E35E79">
        <w:tc>
          <w:tcPr>
            <w:tcW w:w="3114" w:type="dxa"/>
          </w:tcPr>
          <w:p w:rsidR="00E35E79" w:rsidRPr="00F45FD6" w:rsidRDefault="00E35E79" w:rsidP="008D1D3F">
            <w:pPr>
              <w:jc w:val="both"/>
              <w:rPr>
                <w:b/>
                <w:sz w:val="22"/>
                <w:szCs w:val="22"/>
                <w:lang w:eastAsia="ru-RU"/>
              </w:rPr>
            </w:pPr>
            <w:r w:rsidRPr="00F45FD6">
              <w:rPr>
                <w:b/>
                <w:sz w:val="22"/>
                <w:szCs w:val="22"/>
                <w:lang w:eastAsia="ru-RU"/>
              </w:rPr>
              <w:t>Место поставки:</w:t>
            </w:r>
          </w:p>
        </w:tc>
        <w:tc>
          <w:tcPr>
            <w:tcW w:w="7082" w:type="dxa"/>
          </w:tcPr>
          <w:p w:rsidR="00E35E79" w:rsidRPr="00F45FD6" w:rsidRDefault="00276A3D" w:rsidP="008D1D3F">
            <w:pPr>
              <w:jc w:val="both"/>
              <w:rPr>
                <w:rFonts w:eastAsia="Calibri"/>
                <w:b/>
                <w:sz w:val="22"/>
                <w:szCs w:val="22"/>
                <w:lang w:eastAsia="ru-RU"/>
              </w:rPr>
            </w:pPr>
            <w:r w:rsidRPr="00F45FD6">
              <w:rPr>
                <w:rFonts w:eastAsia="Calibri"/>
                <w:b/>
                <w:sz w:val="22"/>
                <w:szCs w:val="22"/>
                <w:lang w:eastAsia="ru-RU"/>
              </w:rPr>
              <w:t>Пункт 1.3 Проекта Договора</w:t>
            </w:r>
          </w:p>
        </w:tc>
      </w:tr>
      <w:tr w:rsidR="00F45FD6" w:rsidRPr="00F45FD6" w:rsidTr="00E35E79">
        <w:tc>
          <w:tcPr>
            <w:tcW w:w="3114" w:type="dxa"/>
          </w:tcPr>
          <w:p w:rsidR="00E35E79" w:rsidRPr="00F45FD6" w:rsidRDefault="00E35E79" w:rsidP="003E0319">
            <w:pPr>
              <w:jc w:val="both"/>
              <w:rPr>
                <w:rFonts w:eastAsia="Calibri"/>
                <w:b/>
                <w:sz w:val="22"/>
                <w:szCs w:val="22"/>
                <w:lang w:eastAsia="ru-RU"/>
              </w:rPr>
            </w:pPr>
            <w:r w:rsidRPr="00F45FD6">
              <w:rPr>
                <w:b/>
                <w:sz w:val="22"/>
                <w:szCs w:val="22"/>
                <w:lang w:eastAsia="ru-RU"/>
              </w:rPr>
              <w:t>Условия оплаты</w:t>
            </w:r>
            <w:r w:rsidRPr="00F45FD6">
              <w:rPr>
                <w:sz w:val="22"/>
                <w:szCs w:val="22"/>
                <w:lang w:eastAsia="ru-RU"/>
              </w:rPr>
              <w:t>:</w:t>
            </w:r>
          </w:p>
        </w:tc>
        <w:tc>
          <w:tcPr>
            <w:tcW w:w="7082" w:type="dxa"/>
          </w:tcPr>
          <w:p w:rsidR="004E413D" w:rsidRPr="00F45FD6" w:rsidRDefault="00276A3D" w:rsidP="003E0319">
            <w:pPr>
              <w:jc w:val="both"/>
              <w:rPr>
                <w:rFonts w:eastAsia="Calibri"/>
                <w:b/>
                <w:sz w:val="22"/>
                <w:szCs w:val="22"/>
                <w:lang w:eastAsia="ru-RU"/>
              </w:rPr>
            </w:pPr>
            <w:r w:rsidRPr="00F45FD6">
              <w:rPr>
                <w:rFonts w:eastAsia="Calibri"/>
                <w:b/>
                <w:sz w:val="22"/>
                <w:szCs w:val="22"/>
                <w:lang w:eastAsia="ru-RU"/>
              </w:rPr>
              <w:t>Пункт 2.2 Проекта Договора</w:t>
            </w:r>
          </w:p>
        </w:tc>
      </w:tr>
      <w:tr w:rsidR="00F45FD6" w:rsidRPr="00F45FD6" w:rsidTr="00E35E79">
        <w:tc>
          <w:tcPr>
            <w:tcW w:w="3114" w:type="dxa"/>
          </w:tcPr>
          <w:p w:rsidR="00E35E79" w:rsidRPr="00F45FD6" w:rsidRDefault="00E35E79" w:rsidP="008D1D3F">
            <w:pPr>
              <w:jc w:val="both"/>
              <w:rPr>
                <w:rFonts w:eastAsia="Calibri"/>
                <w:b/>
                <w:sz w:val="22"/>
                <w:szCs w:val="22"/>
                <w:lang w:eastAsia="ru-RU"/>
              </w:rPr>
            </w:pPr>
            <w:r w:rsidRPr="00F45FD6">
              <w:rPr>
                <w:rFonts w:eastAsia="Calibri"/>
                <w:b/>
                <w:sz w:val="22"/>
                <w:szCs w:val="22"/>
                <w:lang w:eastAsia="ru-RU"/>
              </w:rPr>
              <w:t>Требования к качеству товара:</w:t>
            </w:r>
          </w:p>
        </w:tc>
        <w:tc>
          <w:tcPr>
            <w:tcW w:w="7082" w:type="dxa"/>
          </w:tcPr>
          <w:p w:rsidR="00E35E79" w:rsidRPr="00F45FD6" w:rsidRDefault="00276A3D" w:rsidP="008D1D3F">
            <w:pPr>
              <w:jc w:val="both"/>
              <w:rPr>
                <w:rFonts w:eastAsia="Calibri"/>
                <w:b/>
                <w:sz w:val="22"/>
                <w:szCs w:val="22"/>
                <w:lang w:eastAsia="ru-RU"/>
              </w:rPr>
            </w:pPr>
            <w:r w:rsidRPr="00F45FD6">
              <w:rPr>
                <w:rFonts w:eastAsia="Calibri"/>
                <w:b/>
                <w:sz w:val="22"/>
                <w:szCs w:val="22"/>
                <w:lang w:eastAsia="ru-RU"/>
              </w:rPr>
              <w:t>Пункт 5.1. Проекта Договора</w:t>
            </w:r>
          </w:p>
        </w:tc>
      </w:tr>
      <w:tr w:rsidR="00F45FD6" w:rsidRPr="00F45FD6" w:rsidTr="00EF725C">
        <w:trPr>
          <w:trHeight w:val="255"/>
        </w:trPr>
        <w:tc>
          <w:tcPr>
            <w:tcW w:w="3114" w:type="dxa"/>
          </w:tcPr>
          <w:p w:rsidR="00E35E79" w:rsidRPr="00F45FD6" w:rsidRDefault="00E35E79" w:rsidP="008D1D3F">
            <w:pPr>
              <w:jc w:val="both"/>
              <w:rPr>
                <w:rFonts w:eastAsia="Calibri"/>
                <w:b/>
                <w:sz w:val="22"/>
                <w:szCs w:val="22"/>
                <w:lang w:eastAsia="ru-RU"/>
              </w:rPr>
            </w:pPr>
            <w:r w:rsidRPr="00F45FD6">
              <w:rPr>
                <w:rFonts w:eastAsia="Calibri"/>
                <w:b/>
                <w:sz w:val="22"/>
                <w:szCs w:val="22"/>
                <w:lang w:eastAsia="ru-RU"/>
              </w:rPr>
              <w:t>Требования к упаковке:</w:t>
            </w:r>
          </w:p>
        </w:tc>
        <w:tc>
          <w:tcPr>
            <w:tcW w:w="7082" w:type="dxa"/>
          </w:tcPr>
          <w:p w:rsidR="00E35E79" w:rsidRPr="00F45FD6" w:rsidRDefault="00EF725C" w:rsidP="00EF725C">
            <w:pPr>
              <w:suppressAutoHyphens w:val="0"/>
              <w:contextualSpacing/>
              <w:jc w:val="both"/>
              <w:rPr>
                <w:b/>
                <w:sz w:val="22"/>
                <w:szCs w:val="22"/>
              </w:rPr>
            </w:pPr>
            <w:r w:rsidRPr="00F45FD6">
              <w:rPr>
                <w:b/>
                <w:sz w:val="22"/>
                <w:szCs w:val="22"/>
              </w:rPr>
              <w:t>Пункт 6.1. Проекта Договора</w:t>
            </w:r>
          </w:p>
        </w:tc>
      </w:tr>
      <w:tr w:rsidR="00DC6A81" w:rsidRPr="00841D13" w:rsidTr="00E35E79">
        <w:tc>
          <w:tcPr>
            <w:tcW w:w="3114" w:type="dxa"/>
          </w:tcPr>
          <w:p w:rsidR="00DC6A81" w:rsidRPr="00841D13" w:rsidRDefault="00DC6A81" w:rsidP="00BA42CC">
            <w:pPr>
              <w:rPr>
                <w:rFonts w:eastAsia="Calibri"/>
                <w:b/>
                <w:sz w:val="22"/>
                <w:szCs w:val="22"/>
                <w:lang w:eastAsia="ru-RU"/>
              </w:rPr>
            </w:pPr>
            <w:r w:rsidRPr="00841D13">
              <w:rPr>
                <w:b/>
                <w:sz w:val="22"/>
                <w:szCs w:val="22"/>
              </w:rPr>
              <w:t>Ценовое предложение должно содержать:</w:t>
            </w:r>
          </w:p>
        </w:tc>
        <w:tc>
          <w:tcPr>
            <w:tcW w:w="7082" w:type="dxa"/>
          </w:tcPr>
          <w:p w:rsidR="00DC6A81" w:rsidRDefault="00DC6A81" w:rsidP="00DC6A81">
            <w:pPr>
              <w:jc w:val="both"/>
              <w:rPr>
                <w:b/>
                <w:sz w:val="22"/>
                <w:szCs w:val="22"/>
              </w:rPr>
            </w:pPr>
            <w:r>
              <w:rPr>
                <w:b/>
                <w:sz w:val="22"/>
                <w:szCs w:val="22"/>
              </w:rPr>
              <w:t>1) Заявку с информацией указанной в Рекомендуемой форме (Приложение №1 Технического задания)</w:t>
            </w:r>
          </w:p>
          <w:p w:rsidR="00DC6A81" w:rsidRPr="00841D13" w:rsidRDefault="00DC6A81" w:rsidP="002208FF">
            <w:pPr>
              <w:jc w:val="both"/>
              <w:rPr>
                <w:sz w:val="22"/>
                <w:szCs w:val="22"/>
              </w:rPr>
            </w:pPr>
            <w:r>
              <w:rPr>
                <w:b/>
                <w:sz w:val="22"/>
                <w:szCs w:val="22"/>
              </w:rPr>
              <w:t>2)</w:t>
            </w:r>
            <w:r>
              <w:t xml:space="preserve"> </w:t>
            </w:r>
            <w:r>
              <w:rPr>
                <w:b/>
                <w:sz w:val="22"/>
                <w:szCs w:val="22"/>
              </w:rPr>
              <w:t xml:space="preserve">Наличие   копии действующего свидетельства о регистрации установленного </w:t>
            </w:r>
            <w:r w:rsidR="002208FF">
              <w:rPr>
                <w:b/>
                <w:sz w:val="22"/>
                <w:szCs w:val="22"/>
              </w:rPr>
              <w:t>образца/</w:t>
            </w:r>
            <w:proofErr w:type="gramStart"/>
            <w:r w:rsidR="002208FF">
              <w:rPr>
                <w:b/>
                <w:sz w:val="22"/>
                <w:szCs w:val="22"/>
              </w:rPr>
              <w:t xml:space="preserve">копии регистрационного </w:t>
            </w:r>
            <w:r>
              <w:rPr>
                <w:b/>
                <w:sz w:val="22"/>
                <w:szCs w:val="22"/>
              </w:rPr>
              <w:t>удостоверения</w:t>
            </w:r>
            <w:proofErr w:type="gramEnd"/>
            <w:r>
              <w:t xml:space="preserve"> </w:t>
            </w:r>
            <w:r>
              <w:rPr>
                <w:b/>
                <w:sz w:val="22"/>
                <w:szCs w:val="22"/>
              </w:rPr>
              <w:t xml:space="preserve">выданные органом по сертификации России или иными документами, необходимые для подтверждения качества Товара, </w:t>
            </w:r>
            <w:r w:rsidRPr="00196AF1">
              <w:rPr>
                <w:b/>
                <w:color w:val="FF0000"/>
                <w:sz w:val="22"/>
                <w:szCs w:val="22"/>
              </w:rPr>
              <w:t xml:space="preserve">кроме позиций </w:t>
            </w:r>
            <w:r w:rsidR="008E4CC1">
              <w:rPr>
                <w:b/>
                <w:color w:val="FF0000"/>
                <w:sz w:val="22"/>
                <w:szCs w:val="22"/>
              </w:rPr>
              <w:t>14 и 15</w:t>
            </w:r>
            <w:r w:rsidRPr="00196AF1">
              <w:rPr>
                <w:b/>
                <w:color w:val="FF0000"/>
                <w:sz w:val="22"/>
                <w:szCs w:val="22"/>
              </w:rPr>
              <w:t xml:space="preserve"> технического задания. </w:t>
            </w:r>
            <w:r>
              <w:rPr>
                <w:sz w:val="22"/>
                <w:szCs w:val="22"/>
              </w:rPr>
              <w:t>Участник вправе изменить единицу измерения на упаковки и произвести пересчет количества на количество упаковок, предлагаемых к поставке исходя из заявленного объема поставки и количества единиц измерения в индивидуальной (потребительской) упаковке. В случае пересчета, участник вправе округлить в большую сторону количество предлагаемого к поставке товара для сохранения целостности индивидуальной (потребительской) упаковки, при этом цена не может быть больше указанной покупателем.</w:t>
            </w:r>
          </w:p>
        </w:tc>
      </w:tr>
      <w:tr w:rsidR="00E35E79" w:rsidRPr="00841D13" w:rsidTr="00E35E79">
        <w:tc>
          <w:tcPr>
            <w:tcW w:w="3114" w:type="dxa"/>
          </w:tcPr>
          <w:p w:rsidR="00E35E79" w:rsidRPr="00841D13" w:rsidRDefault="00E35E79" w:rsidP="008D1D3F">
            <w:pPr>
              <w:jc w:val="both"/>
              <w:rPr>
                <w:rFonts w:eastAsia="Calibri"/>
                <w:b/>
                <w:sz w:val="22"/>
                <w:szCs w:val="22"/>
                <w:lang w:eastAsia="ru-RU"/>
              </w:rPr>
            </w:pPr>
            <w:r w:rsidRPr="00841D13">
              <w:rPr>
                <w:rFonts w:eastAsia="Calibri"/>
                <w:b/>
                <w:sz w:val="22"/>
                <w:szCs w:val="22"/>
                <w:lang w:eastAsia="ru-RU"/>
              </w:rPr>
              <w:t>Условия эквивалентности:</w:t>
            </w:r>
          </w:p>
        </w:tc>
        <w:tc>
          <w:tcPr>
            <w:tcW w:w="7082" w:type="dxa"/>
          </w:tcPr>
          <w:p w:rsidR="00E35E79" w:rsidRPr="00841D13" w:rsidRDefault="00AE6E88" w:rsidP="008D1D3F">
            <w:pPr>
              <w:suppressAutoHyphens w:val="0"/>
              <w:contextualSpacing/>
              <w:jc w:val="both"/>
              <w:rPr>
                <w:b/>
                <w:sz w:val="22"/>
                <w:szCs w:val="22"/>
              </w:rPr>
            </w:pPr>
            <w:r w:rsidRPr="00841D13">
              <w:rPr>
                <w:sz w:val="22"/>
                <w:szCs w:val="22"/>
              </w:rPr>
              <w:t xml:space="preserve">В случае, если в техническом задании содержится указание на товарные знаки, конкретные размеры в отношении Товара, применительно к таким Товарам следует считать «или эквивалент». </w:t>
            </w:r>
            <w:r w:rsidR="00E35E79" w:rsidRPr="00841D13">
              <w:rPr>
                <w:sz w:val="22"/>
                <w:szCs w:val="22"/>
                <w:lang w:eastAsia="ru-RU"/>
              </w:rPr>
              <w:t>В случае предложения эквивалентного Товара, необходимо, чтобы предложенный товар по техническим и функциональным характеристикам не должен быть хуже, а по некоторым критериям даже лучше (либо аналогичным), чем те, которые были запрошены.</w:t>
            </w:r>
          </w:p>
        </w:tc>
      </w:tr>
    </w:tbl>
    <w:p w:rsidR="00E35E79" w:rsidRDefault="00E35E79" w:rsidP="00E35E79">
      <w:pPr>
        <w:ind w:firstLine="567"/>
        <w:jc w:val="center"/>
        <w:rPr>
          <w:rFonts w:eastAsia="Calibri"/>
          <w:b/>
          <w:lang w:eastAsia="ru-RU"/>
        </w:rPr>
      </w:pPr>
    </w:p>
    <w:p w:rsidR="003E0319" w:rsidRPr="003E0319" w:rsidRDefault="004658F3" w:rsidP="003E0319">
      <w:pPr>
        <w:ind w:firstLine="567"/>
        <w:jc w:val="center"/>
        <w:rPr>
          <w:rFonts w:eastAsia="Calibri"/>
          <w:b/>
          <w:lang w:eastAsia="ru-RU"/>
        </w:rPr>
      </w:pPr>
      <w:r>
        <w:rPr>
          <w:rFonts w:eastAsia="Calibri"/>
          <w:b/>
          <w:lang w:eastAsia="ru-RU"/>
        </w:rPr>
        <w:t xml:space="preserve">Уважаемые участники, на </w:t>
      </w:r>
      <w:r w:rsidRPr="004658F3">
        <w:rPr>
          <w:rFonts w:eastAsia="Calibri"/>
          <w:b/>
          <w:lang w:eastAsia="ru-RU"/>
        </w:rPr>
        <w:t>30</w:t>
      </w:r>
      <w:r w:rsidR="003E0319" w:rsidRPr="003E0319">
        <w:rPr>
          <w:rFonts w:eastAsia="Calibri"/>
          <w:b/>
          <w:lang w:eastAsia="ru-RU"/>
        </w:rPr>
        <w:t xml:space="preserve">.10.2024 г. на площадке Электронного ордера сохраняется проблема прикрепления файлов к заявке. Поскольку обязательным требованием является наличие действующего регистрационного удостоверения на товар, просим Вас в случае, если Вы не можете из-за технической ошибки прикрепить файлы, указать в колонке «Наименование Товара /Производитель/Страна производства» Номер регистрационного удостоверения и дату его выдачи». Заказчик самостоятельно проверит достоверность информации на сайте </w:t>
      </w:r>
      <w:hyperlink r:id="rId7" w:history="1">
        <w:r w:rsidR="005A29A5" w:rsidRPr="00A354AE">
          <w:rPr>
            <w:rStyle w:val="ae"/>
            <w:rFonts w:eastAsia="Calibri"/>
            <w:b/>
            <w:lang w:eastAsia="ru-RU"/>
          </w:rPr>
          <w:t>https://roszdravnadzor.gov.ru/services/misearch</w:t>
        </w:r>
      </w:hyperlink>
      <w:r w:rsidR="005A29A5">
        <w:rPr>
          <w:rFonts w:eastAsia="Calibri"/>
          <w:b/>
          <w:lang w:eastAsia="ru-RU"/>
        </w:rPr>
        <w:t xml:space="preserve"> </w:t>
      </w:r>
      <w:r w:rsidR="003E0319" w:rsidRPr="003E0319">
        <w:rPr>
          <w:rFonts w:eastAsia="Calibri"/>
          <w:b/>
          <w:lang w:eastAsia="ru-RU"/>
        </w:rPr>
        <w:t xml:space="preserve"> </w:t>
      </w:r>
    </w:p>
    <w:p w:rsidR="003E0319" w:rsidRPr="003E0319" w:rsidRDefault="003E0319" w:rsidP="003E0319">
      <w:pPr>
        <w:ind w:firstLine="567"/>
        <w:jc w:val="center"/>
        <w:rPr>
          <w:rFonts w:eastAsia="Calibri"/>
          <w:b/>
          <w:lang w:eastAsia="ru-RU"/>
        </w:rPr>
      </w:pPr>
      <w:r w:rsidRPr="003E0319">
        <w:rPr>
          <w:rFonts w:eastAsia="Calibri"/>
          <w:b/>
          <w:lang w:eastAsia="ru-RU"/>
        </w:rPr>
        <w:t xml:space="preserve">Победитель закупки должен будет предоставить регистрационные удостоверения на </w:t>
      </w:r>
      <w:r w:rsidR="004658F3" w:rsidRPr="004658F3">
        <w:rPr>
          <w:rFonts w:eastAsia="Calibri"/>
          <w:b/>
          <w:lang w:eastAsia="ru-RU"/>
        </w:rPr>
        <w:t xml:space="preserve">  </w:t>
      </w:r>
      <w:bookmarkStart w:id="0" w:name="_GoBack"/>
      <w:bookmarkEnd w:id="0"/>
      <w:r w:rsidRPr="003E0319">
        <w:rPr>
          <w:rFonts w:eastAsia="Calibri"/>
          <w:b/>
          <w:lang w:eastAsia="ru-RU"/>
        </w:rPr>
        <w:t>эл. почту Заказчика при подписании договора и при приемке товара.</w:t>
      </w:r>
    </w:p>
    <w:p w:rsidR="00841D13" w:rsidRDefault="00841D13" w:rsidP="00E35E79">
      <w:pPr>
        <w:ind w:firstLine="567"/>
        <w:jc w:val="center"/>
        <w:rPr>
          <w:rFonts w:eastAsia="Calibri"/>
          <w:b/>
          <w:lang w:eastAsia="ru-RU"/>
        </w:rPr>
      </w:pPr>
    </w:p>
    <w:p w:rsidR="00841D13" w:rsidRDefault="00841D13" w:rsidP="00E35E79">
      <w:pPr>
        <w:ind w:firstLine="567"/>
        <w:jc w:val="center"/>
        <w:rPr>
          <w:rFonts w:eastAsia="Calibri"/>
          <w:b/>
          <w:lang w:eastAsia="ru-RU"/>
        </w:rPr>
      </w:pPr>
    </w:p>
    <w:p w:rsidR="00841D13" w:rsidRDefault="00841D13" w:rsidP="00E35E79">
      <w:pPr>
        <w:ind w:firstLine="567"/>
        <w:jc w:val="center"/>
        <w:rPr>
          <w:rFonts w:eastAsia="Calibri"/>
          <w:b/>
          <w:lang w:eastAsia="ru-RU"/>
        </w:rPr>
      </w:pPr>
    </w:p>
    <w:p w:rsidR="008D1D3F" w:rsidRDefault="008D1D3F" w:rsidP="00E35E79">
      <w:pPr>
        <w:ind w:firstLine="567"/>
        <w:jc w:val="center"/>
        <w:rPr>
          <w:rFonts w:eastAsia="Calibri"/>
          <w:b/>
          <w:lang w:eastAsia="ru-RU"/>
        </w:rPr>
      </w:pPr>
    </w:p>
    <w:p w:rsidR="00841D13" w:rsidRDefault="00841D13" w:rsidP="00841D13">
      <w:pPr>
        <w:ind w:firstLine="567"/>
        <w:jc w:val="right"/>
        <w:rPr>
          <w:rFonts w:eastAsia="Calibri"/>
          <w:b/>
          <w:lang w:eastAsia="ru-RU"/>
        </w:rPr>
      </w:pPr>
      <w:r>
        <w:rPr>
          <w:rFonts w:eastAsia="Calibri"/>
          <w:b/>
          <w:lang w:eastAsia="ru-RU"/>
        </w:rPr>
        <w:lastRenderedPageBreak/>
        <w:t>Приложение №1</w:t>
      </w:r>
    </w:p>
    <w:p w:rsidR="00841D13" w:rsidRDefault="00841D13" w:rsidP="00E35E79">
      <w:pPr>
        <w:ind w:firstLine="567"/>
        <w:jc w:val="center"/>
        <w:rPr>
          <w:rFonts w:eastAsia="Calibri"/>
          <w:b/>
          <w:lang w:eastAsia="ru-RU"/>
        </w:rPr>
      </w:pPr>
      <w:r>
        <w:rPr>
          <w:rFonts w:eastAsia="Calibri"/>
          <w:b/>
          <w:lang w:eastAsia="ru-RU"/>
        </w:rPr>
        <w:t>РЕКОМЕДУЕМАЯ ФОРМА ЗАЯВКИ:</w:t>
      </w:r>
    </w:p>
    <w:p w:rsidR="00841D13" w:rsidRDefault="00841D13" w:rsidP="00E35E79">
      <w:pPr>
        <w:ind w:firstLine="567"/>
        <w:jc w:val="center"/>
        <w:rPr>
          <w:rFonts w:eastAsia="Calibri"/>
          <w:b/>
          <w:lang w:eastAsia="ru-RU"/>
        </w:rPr>
      </w:pPr>
    </w:p>
    <w:p w:rsidR="00841D13" w:rsidRDefault="00841D13" w:rsidP="00E35E79">
      <w:pPr>
        <w:ind w:firstLine="567"/>
        <w:jc w:val="center"/>
        <w:rPr>
          <w:rFonts w:eastAsia="Calibri"/>
          <w:b/>
          <w:lang w:eastAsia="ru-RU"/>
        </w:rPr>
      </w:pPr>
    </w:p>
    <w:p w:rsidR="00841D13" w:rsidRPr="00056AB5" w:rsidRDefault="00841D13" w:rsidP="00056AB5">
      <w:pPr>
        <w:ind w:firstLine="567"/>
        <w:jc w:val="center"/>
        <w:rPr>
          <w:rFonts w:eastAsia="Calibri"/>
          <w:b/>
          <w:lang w:eastAsia="ru-RU"/>
        </w:rPr>
      </w:pPr>
      <w:r>
        <w:rPr>
          <w:rFonts w:eastAsia="Calibri"/>
          <w:b/>
          <w:lang w:eastAsia="ru-RU"/>
        </w:rPr>
        <w:t>Заявку на закупку №</w:t>
      </w:r>
      <w:r w:rsidR="00056AB5" w:rsidRPr="00056AB5">
        <w:rPr>
          <w:rFonts w:eastAsia="Calibri"/>
          <w:b/>
          <w:lang w:eastAsia="ru-RU"/>
        </w:rPr>
        <w:t>24060205036</w:t>
      </w:r>
    </w:p>
    <w:p w:rsidR="00841D13" w:rsidRDefault="00841D13" w:rsidP="00E35E79">
      <w:pPr>
        <w:ind w:firstLine="567"/>
        <w:jc w:val="center"/>
        <w:rPr>
          <w:rFonts w:eastAsia="Calibri"/>
          <w:b/>
          <w:lang w:eastAsia="ru-RU"/>
        </w:rPr>
      </w:pPr>
    </w:p>
    <w:tbl>
      <w:tblPr>
        <w:tblW w:w="5000" w:type="pct"/>
        <w:tblCellMar>
          <w:left w:w="10" w:type="dxa"/>
          <w:right w:w="10" w:type="dxa"/>
        </w:tblCellMar>
        <w:tblLook w:val="04A0" w:firstRow="1" w:lastRow="0" w:firstColumn="1" w:lastColumn="0" w:noHBand="0" w:noVBand="1"/>
      </w:tblPr>
      <w:tblGrid>
        <w:gridCol w:w="574"/>
        <w:gridCol w:w="1939"/>
        <w:gridCol w:w="1961"/>
        <w:gridCol w:w="688"/>
        <w:gridCol w:w="721"/>
        <w:gridCol w:w="1384"/>
        <w:gridCol w:w="819"/>
        <w:gridCol w:w="946"/>
        <w:gridCol w:w="1390"/>
      </w:tblGrid>
      <w:tr w:rsidR="00841D13" w:rsidRPr="00841D13" w:rsidTr="00841D13">
        <w:trPr>
          <w:trHeight w:val="596"/>
        </w:trPr>
        <w:tc>
          <w:tcPr>
            <w:tcW w:w="27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 п/п</w:t>
            </w:r>
          </w:p>
        </w:tc>
        <w:tc>
          <w:tcPr>
            <w:tcW w:w="9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Наименование Товара /Производитель</w:t>
            </w:r>
          </w:p>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/Страна производства</w:t>
            </w:r>
          </w:p>
        </w:tc>
        <w:tc>
          <w:tcPr>
            <w:tcW w:w="941" w:type="pct"/>
            <w:tcBorders>
              <w:top w:val="single" w:sz="4" w:space="0" w:color="000000"/>
              <w:left w:val="single" w:sz="4" w:space="0" w:color="000000"/>
              <w:bottom w:val="single" w:sz="4" w:space="0" w:color="000000"/>
              <w:right w:val="single" w:sz="4" w:space="0" w:color="000000"/>
            </w:tcBorders>
          </w:tcPr>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en-US"/>
              </w:rPr>
              <w:t>Требования к техническим характеристикам, функциональным характеристикам (потребительским свойствам), к размерам, упаковке Товара, иные требования, связанные с определением соответствия поставляемого Товара потребностям Покупателя</w:t>
            </w:r>
          </w:p>
        </w:tc>
        <w:tc>
          <w:tcPr>
            <w:tcW w:w="3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Ед.</w:t>
            </w:r>
            <w:r w:rsidRPr="00841D13">
              <w:rPr>
                <w:rFonts w:eastAsia="Calibri"/>
                <w:kern w:val="3"/>
                <w:sz w:val="18"/>
                <w:szCs w:val="18"/>
                <w:lang w:eastAsia="ru-RU"/>
              </w:rPr>
              <w:br/>
              <w:t>изм.</w:t>
            </w:r>
          </w:p>
        </w:tc>
        <w:tc>
          <w:tcPr>
            <w:tcW w:w="34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Кол-во</w:t>
            </w:r>
          </w:p>
        </w:tc>
        <w:tc>
          <w:tcPr>
            <w:tcW w:w="66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center"/>
              <w:textAlignment w:val="baseline"/>
              <w:rPr>
                <w:rFonts w:eastAsia="Calibri"/>
                <w:kern w:val="3"/>
                <w:sz w:val="18"/>
                <w:szCs w:val="18"/>
                <w:lang w:eastAsia="ru-RU"/>
              </w:rPr>
            </w:pPr>
          </w:p>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НДС,%.</w:t>
            </w:r>
          </w:p>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/НДС не облагается</w:t>
            </w:r>
          </w:p>
        </w:tc>
        <w:tc>
          <w:tcPr>
            <w:tcW w:w="3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Цена за ед. с НДС, руб.</w:t>
            </w:r>
          </w:p>
        </w:tc>
        <w:tc>
          <w:tcPr>
            <w:tcW w:w="4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Сумма НДС, руб.</w:t>
            </w:r>
          </w:p>
          <w:p w:rsidR="00841D13" w:rsidRPr="00841D13" w:rsidRDefault="00841D13" w:rsidP="00841D13">
            <w:pPr>
              <w:autoSpaceDN w:val="0"/>
              <w:snapToGrid w:val="0"/>
              <w:jc w:val="center"/>
              <w:textAlignment w:val="baseline"/>
              <w:rPr>
                <w:rFonts w:eastAsia="Calibri"/>
                <w:kern w:val="3"/>
                <w:sz w:val="18"/>
                <w:szCs w:val="18"/>
                <w:lang w:eastAsia="ru-RU"/>
              </w:rPr>
            </w:pPr>
          </w:p>
        </w:tc>
        <w:tc>
          <w:tcPr>
            <w:tcW w:w="6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center"/>
              <w:textAlignment w:val="baseline"/>
              <w:rPr>
                <w:rFonts w:eastAsia="Calibri"/>
                <w:kern w:val="3"/>
                <w:sz w:val="18"/>
                <w:szCs w:val="18"/>
                <w:lang w:eastAsia="ru-RU"/>
              </w:rPr>
            </w:pPr>
            <w:r w:rsidRPr="00841D13">
              <w:rPr>
                <w:rFonts w:eastAsia="Calibri"/>
                <w:kern w:val="3"/>
                <w:sz w:val="18"/>
                <w:szCs w:val="18"/>
                <w:lang w:eastAsia="ru-RU"/>
              </w:rPr>
              <w:t>Стоимость вкл. НДС, руб.</w:t>
            </w:r>
          </w:p>
        </w:tc>
      </w:tr>
      <w:tr w:rsidR="00841D13" w:rsidRPr="00841D13" w:rsidTr="00841D13">
        <w:trPr>
          <w:trHeight w:val="433"/>
        </w:trPr>
        <w:tc>
          <w:tcPr>
            <w:tcW w:w="275" w:type="pct"/>
            <w:tcBorders>
              <w:left w:val="single" w:sz="4" w:space="0" w:color="000000"/>
              <w:bottom w:val="single" w:sz="4" w:space="0" w:color="000000"/>
            </w:tcBorders>
            <w:tcMar>
              <w:top w:w="0" w:type="dxa"/>
              <w:left w:w="108" w:type="dxa"/>
              <w:bottom w:w="0" w:type="dxa"/>
              <w:right w:w="108" w:type="dxa"/>
            </w:tcMar>
          </w:tcPr>
          <w:p w:rsidR="00841D13" w:rsidRPr="00841D13" w:rsidRDefault="00841D13" w:rsidP="00841D13">
            <w:pPr>
              <w:suppressAutoHyphens w:val="0"/>
              <w:jc w:val="center"/>
              <w:rPr>
                <w:color w:val="000000"/>
                <w:sz w:val="18"/>
                <w:szCs w:val="18"/>
                <w:lang w:eastAsia="ru-RU"/>
              </w:rPr>
            </w:pPr>
            <w:r w:rsidRPr="00841D13">
              <w:rPr>
                <w:color w:val="000000"/>
                <w:sz w:val="18"/>
                <w:szCs w:val="18"/>
                <w:lang w:eastAsia="ru-RU"/>
              </w:rPr>
              <w:t>1</w:t>
            </w:r>
          </w:p>
        </w:tc>
        <w:tc>
          <w:tcPr>
            <w:tcW w:w="9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1D13" w:rsidRPr="00841D13" w:rsidRDefault="00841D13" w:rsidP="00841D13">
            <w:pPr>
              <w:suppressAutoHyphens w:val="0"/>
              <w:ind w:firstLine="34"/>
              <w:rPr>
                <w:sz w:val="18"/>
                <w:szCs w:val="18"/>
                <w:lang w:eastAsia="ru-RU"/>
              </w:rPr>
            </w:pPr>
          </w:p>
        </w:tc>
        <w:tc>
          <w:tcPr>
            <w:tcW w:w="941" w:type="pct"/>
            <w:tcBorders>
              <w:left w:val="single" w:sz="4" w:space="0" w:color="000000"/>
              <w:bottom w:val="single" w:sz="4" w:space="0" w:color="000000"/>
              <w:right w:val="single" w:sz="4" w:space="0" w:color="000000"/>
            </w:tcBorders>
          </w:tcPr>
          <w:p w:rsidR="00841D13" w:rsidRPr="00841D13" w:rsidRDefault="00841D13" w:rsidP="00841D13">
            <w:pPr>
              <w:suppressAutoHyphens w:val="0"/>
              <w:jc w:val="center"/>
              <w:rPr>
                <w:color w:val="000000"/>
                <w:sz w:val="18"/>
                <w:szCs w:val="18"/>
                <w:lang w:eastAsia="ru-RU"/>
              </w:rPr>
            </w:pPr>
          </w:p>
        </w:tc>
        <w:tc>
          <w:tcPr>
            <w:tcW w:w="330" w:type="pct"/>
            <w:tcBorders>
              <w:left w:val="single" w:sz="4" w:space="0" w:color="000000"/>
              <w:bottom w:val="single" w:sz="4" w:space="0" w:color="000000"/>
            </w:tcBorders>
            <w:tcMar>
              <w:top w:w="0" w:type="dxa"/>
              <w:left w:w="108" w:type="dxa"/>
              <w:bottom w:w="0" w:type="dxa"/>
              <w:right w:w="108" w:type="dxa"/>
            </w:tcMar>
          </w:tcPr>
          <w:p w:rsidR="00841D13" w:rsidRPr="00841D13" w:rsidRDefault="00841D13" w:rsidP="00841D13">
            <w:pPr>
              <w:suppressAutoHyphens w:val="0"/>
              <w:jc w:val="center"/>
              <w:rPr>
                <w:color w:val="000000"/>
                <w:sz w:val="18"/>
                <w:szCs w:val="18"/>
                <w:lang w:eastAsia="ru-RU"/>
              </w:rPr>
            </w:pPr>
          </w:p>
        </w:tc>
        <w:tc>
          <w:tcPr>
            <w:tcW w:w="346" w:type="pct"/>
            <w:tcBorders>
              <w:left w:val="single" w:sz="4" w:space="0" w:color="000000"/>
              <w:bottom w:val="single" w:sz="4" w:space="0" w:color="000000"/>
            </w:tcBorders>
            <w:tcMar>
              <w:top w:w="0" w:type="dxa"/>
              <w:left w:w="108" w:type="dxa"/>
              <w:bottom w:w="0" w:type="dxa"/>
              <w:right w:w="108" w:type="dxa"/>
            </w:tcMar>
          </w:tcPr>
          <w:p w:rsidR="00841D13" w:rsidRPr="00841D13" w:rsidRDefault="00841D13" w:rsidP="00841D13">
            <w:pPr>
              <w:suppressAutoHyphens w:val="0"/>
              <w:jc w:val="center"/>
              <w:rPr>
                <w:color w:val="000000"/>
                <w:sz w:val="18"/>
                <w:szCs w:val="18"/>
                <w:lang w:eastAsia="ru-RU"/>
              </w:rPr>
            </w:pPr>
          </w:p>
        </w:tc>
        <w:tc>
          <w:tcPr>
            <w:tcW w:w="664" w:type="pct"/>
            <w:tcBorders>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c>
          <w:tcPr>
            <w:tcW w:w="393" w:type="pct"/>
            <w:tcBorders>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c>
          <w:tcPr>
            <w:tcW w:w="454" w:type="pct"/>
            <w:tcBorders>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c>
          <w:tcPr>
            <w:tcW w:w="667"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r>
      <w:tr w:rsidR="00841D13" w:rsidRPr="00841D13" w:rsidTr="00841D13">
        <w:trPr>
          <w:trHeight w:val="433"/>
        </w:trPr>
        <w:tc>
          <w:tcPr>
            <w:tcW w:w="275" w:type="pct"/>
            <w:tcBorders>
              <w:left w:val="single" w:sz="4" w:space="0" w:color="000000"/>
              <w:bottom w:val="single" w:sz="4" w:space="0" w:color="000000"/>
            </w:tcBorders>
            <w:tcMar>
              <w:top w:w="0" w:type="dxa"/>
              <w:left w:w="108" w:type="dxa"/>
              <w:bottom w:w="0" w:type="dxa"/>
              <w:right w:w="108" w:type="dxa"/>
            </w:tcMar>
          </w:tcPr>
          <w:p w:rsidR="00841D13" w:rsidRPr="00841D13" w:rsidRDefault="00841D13" w:rsidP="00841D13">
            <w:pPr>
              <w:suppressAutoHyphens w:val="0"/>
              <w:jc w:val="center"/>
              <w:rPr>
                <w:color w:val="000000"/>
                <w:sz w:val="18"/>
                <w:szCs w:val="18"/>
                <w:lang w:eastAsia="ru-RU"/>
              </w:rPr>
            </w:pPr>
            <w:r w:rsidRPr="00841D13">
              <w:rPr>
                <w:color w:val="000000"/>
                <w:sz w:val="18"/>
                <w:szCs w:val="18"/>
                <w:lang w:eastAsia="ru-RU"/>
              </w:rPr>
              <w:t>2</w:t>
            </w:r>
          </w:p>
        </w:tc>
        <w:tc>
          <w:tcPr>
            <w:tcW w:w="9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1D13" w:rsidRPr="00841D13" w:rsidRDefault="00841D13" w:rsidP="00841D13">
            <w:pPr>
              <w:suppressAutoHyphens w:val="0"/>
              <w:ind w:firstLine="34"/>
              <w:rPr>
                <w:bCs/>
                <w:iCs/>
                <w:sz w:val="18"/>
                <w:szCs w:val="18"/>
                <w:lang w:eastAsia="ru-RU"/>
              </w:rPr>
            </w:pPr>
          </w:p>
        </w:tc>
        <w:tc>
          <w:tcPr>
            <w:tcW w:w="941" w:type="pct"/>
            <w:tcBorders>
              <w:left w:val="single" w:sz="4" w:space="0" w:color="000000"/>
              <w:bottom w:val="single" w:sz="4" w:space="0" w:color="000000"/>
              <w:right w:val="single" w:sz="4" w:space="0" w:color="000000"/>
            </w:tcBorders>
          </w:tcPr>
          <w:p w:rsidR="00841D13" w:rsidRPr="00841D13" w:rsidRDefault="00841D13" w:rsidP="00841D13">
            <w:pPr>
              <w:suppressAutoHyphens w:val="0"/>
              <w:jc w:val="center"/>
              <w:rPr>
                <w:color w:val="000000"/>
                <w:sz w:val="18"/>
                <w:szCs w:val="18"/>
                <w:lang w:eastAsia="ru-RU"/>
              </w:rPr>
            </w:pPr>
          </w:p>
        </w:tc>
        <w:tc>
          <w:tcPr>
            <w:tcW w:w="330" w:type="pct"/>
            <w:tcBorders>
              <w:left w:val="single" w:sz="4" w:space="0" w:color="000000"/>
              <w:bottom w:val="single" w:sz="4" w:space="0" w:color="000000"/>
            </w:tcBorders>
            <w:tcMar>
              <w:top w:w="0" w:type="dxa"/>
              <w:left w:w="108" w:type="dxa"/>
              <w:bottom w:w="0" w:type="dxa"/>
              <w:right w:w="108" w:type="dxa"/>
            </w:tcMar>
          </w:tcPr>
          <w:p w:rsidR="00841D13" w:rsidRPr="00841D13" w:rsidRDefault="00841D13" w:rsidP="00841D13">
            <w:pPr>
              <w:suppressAutoHyphens w:val="0"/>
              <w:jc w:val="center"/>
              <w:rPr>
                <w:color w:val="000000"/>
                <w:sz w:val="18"/>
                <w:szCs w:val="18"/>
                <w:lang w:eastAsia="ru-RU"/>
              </w:rPr>
            </w:pPr>
          </w:p>
        </w:tc>
        <w:tc>
          <w:tcPr>
            <w:tcW w:w="346" w:type="pct"/>
            <w:tcBorders>
              <w:left w:val="single" w:sz="4" w:space="0" w:color="000000"/>
              <w:bottom w:val="single" w:sz="4" w:space="0" w:color="000000"/>
            </w:tcBorders>
            <w:tcMar>
              <w:top w:w="0" w:type="dxa"/>
              <w:left w:w="108" w:type="dxa"/>
              <w:bottom w:w="0" w:type="dxa"/>
              <w:right w:w="108" w:type="dxa"/>
            </w:tcMar>
          </w:tcPr>
          <w:p w:rsidR="00841D13" w:rsidRPr="00841D13" w:rsidRDefault="00841D13" w:rsidP="00841D13">
            <w:pPr>
              <w:suppressAutoHyphens w:val="0"/>
              <w:jc w:val="center"/>
              <w:rPr>
                <w:color w:val="000000"/>
                <w:sz w:val="18"/>
                <w:szCs w:val="18"/>
                <w:lang w:eastAsia="ru-RU"/>
              </w:rPr>
            </w:pPr>
          </w:p>
        </w:tc>
        <w:tc>
          <w:tcPr>
            <w:tcW w:w="664" w:type="pct"/>
            <w:tcBorders>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c>
          <w:tcPr>
            <w:tcW w:w="393" w:type="pct"/>
            <w:tcBorders>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c>
          <w:tcPr>
            <w:tcW w:w="454" w:type="pct"/>
            <w:tcBorders>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c>
          <w:tcPr>
            <w:tcW w:w="667"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r>
      <w:tr w:rsidR="00841D13" w:rsidRPr="00841D13" w:rsidTr="00841D13">
        <w:trPr>
          <w:trHeight w:val="433"/>
        </w:trPr>
        <w:tc>
          <w:tcPr>
            <w:tcW w:w="275" w:type="pct"/>
            <w:tcBorders>
              <w:left w:val="single" w:sz="4" w:space="0" w:color="000000"/>
              <w:bottom w:val="single" w:sz="4" w:space="0" w:color="000000"/>
            </w:tcBorders>
            <w:tcMar>
              <w:top w:w="0" w:type="dxa"/>
              <w:left w:w="108" w:type="dxa"/>
              <w:bottom w:w="0" w:type="dxa"/>
              <w:right w:w="108" w:type="dxa"/>
            </w:tcMar>
          </w:tcPr>
          <w:p w:rsidR="00841D13" w:rsidRPr="00841D13" w:rsidRDefault="00841D13" w:rsidP="00841D13">
            <w:pPr>
              <w:suppressAutoHyphens w:val="0"/>
              <w:jc w:val="center"/>
              <w:rPr>
                <w:color w:val="000000"/>
                <w:sz w:val="18"/>
                <w:szCs w:val="18"/>
                <w:lang w:eastAsia="ru-RU"/>
              </w:rPr>
            </w:pPr>
            <w:r w:rsidRPr="00841D13">
              <w:rPr>
                <w:color w:val="000000"/>
                <w:sz w:val="18"/>
                <w:szCs w:val="18"/>
                <w:lang w:eastAsia="ru-RU"/>
              </w:rPr>
              <w:t>3</w:t>
            </w:r>
          </w:p>
        </w:tc>
        <w:tc>
          <w:tcPr>
            <w:tcW w:w="9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1D13" w:rsidRPr="00841D13" w:rsidRDefault="00841D13" w:rsidP="00841D13">
            <w:pPr>
              <w:suppressAutoHyphens w:val="0"/>
              <w:ind w:right="-108" w:firstLine="34"/>
              <w:rPr>
                <w:sz w:val="18"/>
                <w:szCs w:val="18"/>
                <w:lang w:eastAsia="ru-RU"/>
              </w:rPr>
            </w:pPr>
          </w:p>
        </w:tc>
        <w:tc>
          <w:tcPr>
            <w:tcW w:w="941" w:type="pct"/>
            <w:tcBorders>
              <w:left w:val="single" w:sz="4" w:space="0" w:color="000000"/>
              <w:bottom w:val="single" w:sz="4" w:space="0" w:color="000000"/>
              <w:right w:val="single" w:sz="4" w:space="0" w:color="000000"/>
            </w:tcBorders>
          </w:tcPr>
          <w:p w:rsidR="00841D13" w:rsidRPr="00841D13" w:rsidRDefault="00841D13" w:rsidP="00841D13">
            <w:pPr>
              <w:suppressAutoHyphens w:val="0"/>
              <w:jc w:val="center"/>
              <w:rPr>
                <w:color w:val="000000"/>
                <w:sz w:val="18"/>
                <w:szCs w:val="18"/>
                <w:lang w:eastAsia="ru-RU"/>
              </w:rPr>
            </w:pPr>
          </w:p>
        </w:tc>
        <w:tc>
          <w:tcPr>
            <w:tcW w:w="330" w:type="pct"/>
            <w:tcBorders>
              <w:left w:val="single" w:sz="4" w:space="0" w:color="000000"/>
              <w:bottom w:val="single" w:sz="4" w:space="0" w:color="000000"/>
            </w:tcBorders>
            <w:tcMar>
              <w:top w:w="0" w:type="dxa"/>
              <w:left w:w="108" w:type="dxa"/>
              <w:bottom w:w="0" w:type="dxa"/>
              <w:right w:w="108" w:type="dxa"/>
            </w:tcMar>
          </w:tcPr>
          <w:p w:rsidR="00841D13" w:rsidRPr="00841D13" w:rsidRDefault="00841D13" w:rsidP="00841D13">
            <w:pPr>
              <w:suppressAutoHyphens w:val="0"/>
              <w:jc w:val="center"/>
              <w:rPr>
                <w:color w:val="000000"/>
                <w:sz w:val="18"/>
                <w:szCs w:val="18"/>
                <w:lang w:eastAsia="ru-RU"/>
              </w:rPr>
            </w:pPr>
          </w:p>
        </w:tc>
        <w:tc>
          <w:tcPr>
            <w:tcW w:w="346" w:type="pct"/>
            <w:tcBorders>
              <w:left w:val="single" w:sz="4" w:space="0" w:color="000000"/>
              <w:bottom w:val="single" w:sz="4" w:space="0" w:color="000000"/>
            </w:tcBorders>
            <w:tcMar>
              <w:top w:w="0" w:type="dxa"/>
              <w:left w:w="108" w:type="dxa"/>
              <w:bottom w:w="0" w:type="dxa"/>
              <w:right w:w="108" w:type="dxa"/>
            </w:tcMar>
          </w:tcPr>
          <w:p w:rsidR="00841D13" w:rsidRPr="00841D13" w:rsidRDefault="00841D13" w:rsidP="00841D13">
            <w:pPr>
              <w:suppressAutoHyphens w:val="0"/>
              <w:jc w:val="center"/>
              <w:rPr>
                <w:color w:val="000000"/>
                <w:sz w:val="18"/>
                <w:szCs w:val="18"/>
                <w:lang w:eastAsia="ru-RU"/>
              </w:rPr>
            </w:pPr>
          </w:p>
        </w:tc>
        <w:tc>
          <w:tcPr>
            <w:tcW w:w="664" w:type="pct"/>
            <w:tcBorders>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c>
          <w:tcPr>
            <w:tcW w:w="393" w:type="pct"/>
            <w:tcBorders>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c>
          <w:tcPr>
            <w:tcW w:w="454" w:type="pct"/>
            <w:tcBorders>
              <w:left w:val="single" w:sz="4" w:space="0" w:color="000000"/>
              <w:bottom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c>
          <w:tcPr>
            <w:tcW w:w="667"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r>
      <w:tr w:rsidR="00841D13" w:rsidRPr="00841D13" w:rsidTr="00841D13">
        <w:tc>
          <w:tcPr>
            <w:tcW w:w="4333" w:type="pct"/>
            <w:gridSpan w:val="8"/>
            <w:tcBorders>
              <w:left w:val="single" w:sz="4" w:space="0" w:color="000000"/>
              <w:bottom w:val="single" w:sz="4" w:space="0" w:color="000000"/>
            </w:tcBorders>
          </w:tcPr>
          <w:p w:rsidR="00841D13" w:rsidRPr="00841D13" w:rsidRDefault="00841D13" w:rsidP="00841D13">
            <w:pPr>
              <w:autoSpaceDN w:val="0"/>
              <w:snapToGrid w:val="0"/>
              <w:jc w:val="both"/>
              <w:textAlignment w:val="baseline"/>
              <w:rPr>
                <w:rFonts w:eastAsia="Calibri"/>
                <w:kern w:val="3"/>
                <w:sz w:val="18"/>
                <w:szCs w:val="18"/>
                <w:lang w:eastAsia="ru-RU"/>
              </w:rPr>
            </w:pPr>
            <w:r w:rsidRPr="00841D13">
              <w:rPr>
                <w:rFonts w:eastAsia="Calibri"/>
                <w:kern w:val="3"/>
                <w:sz w:val="18"/>
                <w:szCs w:val="18"/>
                <w:lang w:eastAsia="ru-RU"/>
              </w:rPr>
              <w:t>ИТОГО:</w:t>
            </w:r>
          </w:p>
        </w:tc>
        <w:tc>
          <w:tcPr>
            <w:tcW w:w="667"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41D13" w:rsidRPr="00841D13" w:rsidRDefault="00841D13" w:rsidP="00841D13">
            <w:pPr>
              <w:autoSpaceDN w:val="0"/>
              <w:snapToGrid w:val="0"/>
              <w:jc w:val="both"/>
              <w:textAlignment w:val="baseline"/>
              <w:rPr>
                <w:rFonts w:eastAsia="Calibri"/>
                <w:kern w:val="3"/>
                <w:sz w:val="18"/>
                <w:szCs w:val="18"/>
                <w:lang w:eastAsia="ru-RU"/>
              </w:rPr>
            </w:pPr>
          </w:p>
        </w:tc>
      </w:tr>
    </w:tbl>
    <w:p w:rsidR="00841D13" w:rsidRDefault="00841D13" w:rsidP="00E35E79">
      <w:pPr>
        <w:ind w:firstLine="567"/>
        <w:jc w:val="center"/>
        <w:rPr>
          <w:rFonts w:eastAsia="Calibri"/>
          <w:b/>
          <w:lang w:eastAsia="ru-RU"/>
        </w:rPr>
      </w:pPr>
    </w:p>
    <w:p w:rsidR="00841D13" w:rsidRDefault="00841D13" w:rsidP="00841D13">
      <w:pPr>
        <w:rPr>
          <w:rFonts w:eastAsia="Calibri"/>
          <w:b/>
          <w:lang w:eastAsia="ru-RU"/>
        </w:rPr>
      </w:pPr>
    </w:p>
    <w:tbl>
      <w:tblPr>
        <w:tblW w:w="9781" w:type="dxa"/>
        <w:tblInd w:w="392" w:type="dxa"/>
        <w:tblLook w:val="01E0" w:firstRow="1" w:lastRow="1" w:firstColumn="1" w:lastColumn="1" w:noHBand="0" w:noVBand="0"/>
      </w:tblPr>
      <w:tblGrid>
        <w:gridCol w:w="9781"/>
      </w:tblGrid>
      <w:tr w:rsidR="00841D13" w:rsidRPr="00841D13" w:rsidTr="00841D13">
        <w:tc>
          <w:tcPr>
            <w:tcW w:w="4820" w:type="dxa"/>
          </w:tcPr>
          <w:p w:rsidR="00841D13" w:rsidRPr="00841D13" w:rsidRDefault="00841D13" w:rsidP="00841D13">
            <w:pPr>
              <w:widowControl w:val="0"/>
              <w:autoSpaceDN w:val="0"/>
              <w:jc w:val="both"/>
              <w:textAlignment w:val="baseline"/>
              <w:rPr>
                <w:b/>
                <w:kern w:val="1"/>
              </w:rPr>
            </w:pPr>
            <w:r w:rsidRPr="00841D13">
              <w:rPr>
                <w:b/>
                <w:kern w:val="1"/>
              </w:rPr>
              <w:t>Поставщик:</w:t>
            </w:r>
          </w:p>
          <w:p w:rsidR="00841D13" w:rsidRPr="00841D13" w:rsidRDefault="00841D13" w:rsidP="00841D13">
            <w:pPr>
              <w:jc w:val="both"/>
              <w:rPr>
                <w:sz w:val="20"/>
                <w:szCs w:val="20"/>
              </w:rPr>
            </w:pPr>
            <w:r w:rsidRPr="00841D13">
              <w:rPr>
                <w:sz w:val="20"/>
                <w:szCs w:val="20"/>
              </w:rPr>
              <w:t>_________________________</w:t>
            </w:r>
          </w:p>
          <w:p w:rsidR="00841D13" w:rsidRPr="00841D13" w:rsidRDefault="00841D13" w:rsidP="00841D13">
            <w:pPr>
              <w:suppressAutoHyphens w:val="0"/>
              <w:rPr>
                <w:lang w:eastAsia="ru-RU"/>
              </w:rPr>
            </w:pPr>
            <w:r w:rsidRPr="00841D13">
              <w:rPr>
                <w:lang w:eastAsia="ru-RU"/>
              </w:rPr>
              <w:t xml:space="preserve">Тел </w:t>
            </w:r>
          </w:p>
          <w:p w:rsidR="00841D13" w:rsidRPr="00841D13" w:rsidRDefault="00841D13" w:rsidP="00841D13">
            <w:pPr>
              <w:widowControl w:val="0"/>
              <w:autoSpaceDE w:val="0"/>
              <w:jc w:val="both"/>
            </w:pPr>
            <w:r w:rsidRPr="00841D13">
              <w:t>Е-</w:t>
            </w:r>
            <w:proofErr w:type="spellStart"/>
            <w:r w:rsidRPr="00841D13">
              <w:t>mail</w:t>
            </w:r>
            <w:proofErr w:type="spellEnd"/>
            <w:r w:rsidRPr="00841D13">
              <w:t xml:space="preserve">: </w:t>
            </w:r>
          </w:p>
          <w:p w:rsidR="00841D13" w:rsidRPr="00841D13" w:rsidRDefault="00841D13" w:rsidP="00841D13">
            <w:pPr>
              <w:keepNext/>
              <w:keepLines/>
              <w:widowControl w:val="0"/>
              <w:autoSpaceDN w:val="0"/>
              <w:jc w:val="both"/>
              <w:textAlignment w:val="baseline"/>
              <w:outlineLvl w:val="2"/>
              <w:rPr>
                <w:kern w:val="1"/>
              </w:rPr>
            </w:pPr>
          </w:p>
          <w:p w:rsidR="00841D13" w:rsidRPr="00841D13" w:rsidRDefault="00841D13" w:rsidP="00841D13">
            <w:pPr>
              <w:suppressAutoHyphens w:val="0"/>
              <w:jc w:val="both"/>
              <w:rPr>
                <w:lang w:eastAsia="ru-RU"/>
              </w:rPr>
            </w:pPr>
          </w:p>
        </w:tc>
      </w:tr>
      <w:tr w:rsidR="00841D13" w:rsidRPr="00841D13" w:rsidTr="00841D13">
        <w:trPr>
          <w:trHeight w:val="1427"/>
        </w:trPr>
        <w:tc>
          <w:tcPr>
            <w:tcW w:w="4820" w:type="dxa"/>
          </w:tcPr>
          <w:p w:rsidR="00841D13" w:rsidRPr="00841D13" w:rsidRDefault="00841D13" w:rsidP="00841D13">
            <w:pPr>
              <w:keepNext/>
              <w:keepLines/>
              <w:widowControl w:val="0"/>
              <w:autoSpaceDN w:val="0"/>
              <w:jc w:val="both"/>
              <w:textAlignment w:val="baseline"/>
              <w:outlineLvl w:val="2"/>
              <w:rPr>
                <w:kern w:val="1"/>
              </w:rPr>
            </w:pPr>
          </w:p>
          <w:p w:rsidR="00841D13" w:rsidRPr="00841D13" w:rsidRDefault="00841D13" w:rsidP="00841D13">
            <w:pPr>
              <w:widowControl w:val="0"/>
              <w:autoSpaceDN w:val="0"/>
              <w:jc w:val="both"/>
              <w:textAlignment w:val="baseline"/>
              <w:rPr>
                <w:kern w:val="1"/>
              </w:rPr>
            </w:pPr>
            <w:r w:rsidRPr="00841D13">
              <w:rPr>
                <w:kern w:val="1"/>
              </w:rPr>
              <w:t>___________________/ __________/</w:t>
            </w:r>
          </w:p>
          <w:p w:rsidR="00841D13" w:rsidRPr="00841D13" w:rsidRDefault="00841D13" w:rsidP="00841D13">
            <w:pPr>
              <w:widowControl w:val="0"/>
              <w:autoSpaceDN w:val="0"/>
              <w:jc w:val="both"/>
              <w:textAlignment w:val="baseline"/>
              <w:rPr>
                <w:kern w:val="1"/>
              </w:rPr>
            </w:pPr>
          </w:p>
        </w:tc>
      </w:tr>
    </w:tbl>
    <w:p w:rsidR="00841D13" w:rsidRDefault="00841D13" w:rsidP="00E35E79">
      <w:pPr>
        <w:ind w:firstLine="567"/>
        <w:jc w:val="center"/>
        <w:rPr>
          <w:rFonts w:eastAsia="Calibri"/>
          <w:b/>
          <w:lang w:eastAsia="ru-RU"/>
        </w:rPr>
      </w:pPr>
    </w:p>
    <w:sectPr w:rsidR="00841D13" w:rsidSect="00192295">
      <w:footerReference w:type="default" r:id="rId8"/>
      <w:pgSz w:w="11906" w:h="16838"/>
      <w:pgMar w:top="709" w:right="566"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40" w:rsidRDefault="00D66140" w:rsidP="00841D13">
      <w:r>
        <w:separator/>
      </w:r>
    </w:p>
  </w:endnote>
  <w:endnote w:type="continuationSeparator" w:id="0">
    <w:p w:rsidR="00D66140" w:rsidRDefault="00D66140" w:rsidP="0084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5C" w:rsidRDefault="00EF725C">
    <w:pPr>
      <w:pStyle w:val="aa"/>
    </w:pPr>
    <w:r>
      <w:t>ЧУЗ «КБ «РЖД-Медицина» г. Оренбург»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40" w:rsidRDefault="00D66140" w:rsidP="00841D13">
      <w:r>
        <w:separator/>
      </w:r>
    </w:p>
  </w:footnote>
  <w:footnote w:type="continuationSeparator" w:id="0">
    <w:p w:rsidR="00D66140" w:rsidRDefault="00D66140" w:rsidP="0084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6E4A"/>
    <w:multiLevelType w:val="hybridMultilevel"/>
    <w:tmpl w:val="0A26A4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E3EB9"/>
    <w:multiLevelType w:val="hybridMultilevel"/>
    <w:tmpl w:val="F680548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DC6E84"/>
    <w:multiLevelType w:val="hybridMultilevel"/>
    <w:tmpl w:val="B350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171D7C"/>
    <w:multiLevelType w:val="hybridMultilevel"/>
    <w:tmpl w:val="BEF2C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2"/>
    <w:rsid w:val="000060B5"/>
    <w:rsid w:val="0001147F"/>
    <w:rsid w:val="00032BA3"/>
    <w:rsid w:val="00046182"/>
    <w:rsid w:val="00056AB5"/>
    <w:rsid w:val="00070B17"/>
    <w:rsid w:val="00070E24"/>
    <w:rsid w:val="00080149"/>
    <w:rsid w:val="00097597"/>
    <w:rsid w:val="000A693B"/>
    <w:rsid w:val="000E7BDC"/>
    <w:rsid w:val="000F3FEE"/>
    <w:rsid w:val="000F53F8"/>
    <w:rsid w:val="00100DBA"/>
    <w:rsid w:val="001140D0"/>
    <w:rsid w:val="00122EED"/>
    <w:rsid w:val="00154CE8"/>
    <w:rsid w:val="0017546E"/>
    <w:rsid w:val="00180D2B"/>
    <w:rsid w:val="0018222A"/>
    <w:rsid w:val="00182922"/>
    <w:rsid w:val="00186643"/>
    <w:rsid w:val="00192295"/>
    <w:rsid w:val="001948B2"/>
    <w:rsid w:val="001A281E"/>
    <w:rsid w:val="001A415C"/>
    <w:rsid w:val="001B1EF2"/>
    <w:rsid w:val="001B4165"/>
    <w:rsid w:val="001C14FB"/>
    <w:rsid w:val="001D1CF6"/>
    <w:rsid w:val="001E324A"/>
    <w:rsid w:val="001E3FAA"/>
    <w:rsid w:val="001E5D40"/>
    <w:rsid w:val="001E7915"/>
    <w:rsid w:val="001F4818"/>
    <w:rsid w:val="002026ED"/>
    <w:rsid w:val="00211F2C"/>
    <w:rsid w:val="00215910"/>
    <w:rsid w:val="002208FF"/>
    <w:rsid w:val="00227017"/>
    <w:rsid w:val="00243F1F"/>
    <w:rsid w:val="002567C8"/>
    <w:rsid w:val="00262B58"/>
    <w:rsid w:val="0026583D"/>
    <w:rsid w:val="00271F56"/>
    <w:rsid w:val="00276A3D"/>
    <w:rsid w:val="00283AE7"/>
    <w:rsid w:val="002A22C7"/>
    <w:rsid w:val="002C4382"/>
    <w:rsid w:val="002D1859"/>
    <w:rsid w:val="002D32DE"/>
    <w:rsid w:val="002D57ED"/>
    <w:rsid w:val="002D6E57"/>
    <w:rsid w:val="002F1036"/>
    <w:rsid w:val="002F1A5E"/>
    <w:rsid w:val="002F3AA3"/>
    <w:rsid w:val="00300B58"/>
    <w:rsid w:val="00304748"/>
    <w:rsid w:val="00305929"/>
    <w:rsid w:val="00307D0D"/>
    <w:rsid w:val="003406A6"/>
    <w:rsid w:val="00346F59"/>
    <w:rsid w:val="0036246F"/>
    <w:rsid w:val="00377B73"/>
    <w:rsid w:val="003825D3"/>
    <w:rsid w:val="00382909"/>
    <w:rsid w:val="00385FA7"/>
    <w:rsid w:val="0039357A"/>
    <w:rsid w:val="0039754C"/>
    <w:rsid w:val="003A253B"/>
    <w:rsid w:val="003A2B58"/>
    <w:rsid w:val="003B0DC2"/>
    <w:rsid w:val="003C64E9"/>
    <w:rsid w:val="003D164B"/>
    <w:rsid w:val="003D384F"/>
    <w:rsid w:val="003E0319"/>
    <w:rsid w:val="0040727B"/>
    <w:rsid w:val="00411DC8"/>
    <w:rsid w:val="004658F3"/>
    <w:rsid w:val="004A2485"/>
    <w:rsid w:val="004A2CB2"/>
    <w:rsid w:val="004A3BBC"/>
    <w:rsid w:val="004A71A2"/>
    <w:rsid w:val="004B42CD"/>
    <w:rsid w:val="004B5BBE"/>
    <w:rsid w:val="004C7E03"/>
    <w:rsid w:val="004D6487"/>
    <w:rsid w:val="004E413D"/>
    <w:rsid w:val="004F09FA"/>
    <w:rsid w:val="004F260E"/>
    <w:rsid w:val="004F6823"/>
    <w:rsid w:val="00504186"/>
    <w:rsid w:val="005159EB"/>
    <w:rsid w:val="00524927"/>
    <w:rsid w:val="00551BDF"/>
    <w:rsid w:val="00551D71"/>
    <w:rsid w:val="00582F33"/>
    <w:rsid w:val="005A13D9"/>
    <w:rsid w:val="005A29A5"/>
    <w:rsid w:val="005C6489"/>
    <w:rsid w:val="005E46AA"/>
    <w:rsid w:val="005F5AB6"/>
    <w:rsid w:val="006064D1"/>
    <w:rsid w:val="00623140"/>
    <w:rsid w:val="00625DA5"/>
    <w:rsid w:val="00627D7B"/>
    <w:rsid w:val="00643534"/>
    <w:rsid w:val="00654442"/>
    <w:rsid w:val="00655782"/>
    <w:rsid w:val="00660A32"/>
    <w:rsid w:val="00694868"/>
    <w:rsid w:val="006C3600"/>
    <w:rsid w:val="006D0413"/>
    <w:rsid w:val="006D65EA"/>
    <w:rsid w:val="006E42C6"/>
    <w:rsid w:val="006F6E7D"/>
    <w:rsid w:val="007108D6"/>
    <w:rsid w:val="00715CCF"/>
    <w:rsid w:val="00725ECB"/>
    <w:rsid w:val="007374BA"/>
    <w:rsid w:val="00747740"/>
    <w:rsid w:val="00765AA2"/>
    <w:rsid w:val="00790C6E"/>
    <w:rsid w:val="007A5144"/>
    <w:rsid w:val="007B434E"/>
    <w:rsid w:val="007B43C8"/>
    <w:rsid w:val="007C4B8A"/>
    <w:rsid w:val="007D75ED"/>
    <w:rsid w:val="007E4DC1"/>
    <w:rsid w:val="007E5807"/>
    <w:rsid w:val="00822AB0"/>
    <w:rsid w:val="00841D13"/>
    <w:rsid w:val="00854B17"/>
    <w:rsid w:val="00855314"/>
    <w:rsid w:val="008561D5"/>
    <w:rsid w:val="00860427"/>
    <w:rsid w:val="00867B6A"/>
    <w:rsid w:val="00874311"/>
    <w:rsid w:val="00884AAC"/>
    <w:rsid w:val="008D0AA8"/>
    <w:rsid w:val="008D1D3F"/>
    <w:rsid w:val="008D7B20"/>
    <w:rsid w:val="008E1537"/>
    <w:rsid w:val="008E4CC1"/>
    <w:rsid w:val="008E5B09"/>
    <w:rsid w:val="008F1EAF"/>
    <w:rsid w:val="00901E18"/>
    <w:rsid w:val="00910E4C"/>
    <w:rsid w:val="009179F7"/>
    <w:rsid w:val="00932192"/>
    <w:rsid w:val="009336DE"/>
    <w:rsid w:val="00946643"/>
    <w:rsid w:val="00954CE2"/>
    <w:rsid w:val="00957ACE"/>
    <w:rsid w:val="00964B11"/>
    <w:rsid w:val="00970F29"/>
    <w:rsid w:val="00973AED"/>
    <w:rsid w:val="009744CB"/>
    <w:rsid w:val="0098440D"/>
    <w:rsid w:val="00987F88"/>
    <w:rsid w:val="00990711"/>
    <w:rsid w:val="00991434"/>
    <w:rsid w:val="009A6144"/>
    <w:rsid w:val="009B0ECE"/>
    <w:rsid w:val="009B44BA"/>
    <w:rsid w:val="009C195D"/>
    <w:rsid w:val="009D5C96"/>
    <w:rsid w:val="009D6AAF"/>
    <w:rsid w:val="009E3F8C"/>
    <w:rsid w:val="009F5245"/>
    <w:rsid w:val="009F5492"/>
    <w:rsid w:val="00A01712"/>
    <w:rsid w:val="00A1288C"/>
    <w:rsid w:val="00A24835"/>
    <w:rsid w:val="00A47B34"/>
    <w:rsid w:val="00A610AA"/>
    <w:rsid w:val="00A71A39"/>
    <w:rsid w:val="00A71C09"/>
    <w:rsid w:val="00A77DE7"/>
    <w:rsid w:val="00A93DB7"/>
    <w:rsid w:val="00AA1DC7"/>
    <w:rsid w:val="00AA5960"/>
    <w:rsid w:val="00AB093B"/>
    <w:rsid w:val="00AB5E8F"/>
    <w:rsid w:val="00AC1FC9"/>
    <w:rsid w:val="00AC7552"/>
    <w:rsid w:val="00AD1D95"/>
    <w:rsid w:val="00AD22D6"/>
    <w:rsid w:val="00AE3CA9"/>
    <w:rsid w:val="00AE6E88"/>
    <w:rsid w:val="00AF31D1"/>
    <w:rsid w:val="00B01F25"/>
    <w:rsid w:val="00B067B4"/>
    <w:rsid w:val="00B26244"/>
    <w:rsid w:val="00B40BD1"/>
    <w:rsid w:val="00B41C74"/>
    <w:rsid w:val="00B42904"/>
    <w:rsid w:val="00B44529"/>
    <w:rsid w:val="00B51864"/>
    <w:rsid w:val="00B677DE"/>
    <w:rsid w:val="00B67CF0"/>
    <w:rsid w:val="00B70C7E"/>
    <w:rsid w:val="00B9518F"/>
    <w:rsid w:val="00B95A94"/>
    <w:rsid w:val="00BA329F"/>
    <w:rsid w:val="00BA42CC"/>
    <w:rsid w:val="00BC1941"/>
    <w:rsid w:val="00BC2B2E"/>
    <w:rsid w:val="00BD1216"/>
    <w:rsid w:val="00BD6634"/>
    <w:rsid w:val="00BE1DC1"/>
    <w:rsid w:val="00BF1B95"/>
    <w:rsid w:val="00C0148F"/>
    <w:rsid w:val="00C11236"/>
    <w:rsid w:val="00C32336"/>
    <w:rsid w:val="00C34A0A"/>
    <w:rsid w:val="00C53155"/>
    <w:rsid w:val="00CA015D"/>
    <w:rsid w:val="00CB6157"/>
    <w:rsid w:val="00CC32BB"/>
    <w:rsid w:val="00CC3D79"/>
    <w:rsid w:val="00CD340D"/>
    <w:rsid w:val="00CD6C19"/>
    <w:rsid w:val="00CE2BCD"/>
    <w:rsid w:val="00D13FF3"/>
    <w:rsid w:val="00D24A2D"/>
    <w:rsid w:val="00D2517C"/>
    <w:rsid w:val="00D26355"/>
    <w:rsid w:val="00D36A98"/>
    <w:rsid w:val="00D53091"/>
    <w:rsid w:val="00D6182E"/>
    <w:rsid w:val="00D66140"/>
    <w:rsid w:val="00D82DE3"/>
    <w:rsid w:val="00D95311"/>
    <w:rsid w:val="00DA26B3"/>
    <w:rsid w:val="00DB6C61"/>
    <w:rsid w:val="00DC41CA"/>
    <w:rsid w:val="00DC4E48"/>
    <w:rsid w:val="00DC6A81"/>
    <w:rsid w:val="00DD6493"/>
    <w:rsid w:val="00DE536F"/>
    <w:rsid w:val="00E12417"/>
    <w:rsid w:val="00E13736"/>
    <w:rsid w:val="00E2578F"/>
    <w:rsid w:val="00E35E79"/>
    <w:rsid w:val="00E422F1"/>
    <w:rsid w:val="00E50C24"/>
    <w:rsid w:val="00E639DB"/>
    <w:rsid w:val="00E65153"/>
    <w:rsid w:val="00E74C8A"/>
    <w:rsid w:val="00E76395"/>
    <w:rsid w:val="00E80FD1"/>
    <w:rsid w:val="00E85624"/>
    <w:rsid w:val="00E94C56"/>
    <w:rsid w:val="00EB303E"/>
    <w:rsid w:val="00EB4936"/>
    <w:rsid w:val="00EC00BB"/>
    <w:rsid w:val="00EC6F53"/>
    <w:rsid w:val="00EF5971"/>
    <w:rsid w:val="00EF725C"/>
    <w:rsid w:val="00F0111F"/>
    <w:rsid w:val="00F04064"/>
    <w:rsid w:val="00F25FA5"/>
    <w:rsid w:val="00F45FD6"/>
    <w:rsid w:val="00F6281D"/>
    <w:rsid w:val="00F71FAA"/>
    <w:rsid w:val="00F76C7F"/>
    <w:rsid w:val="00F94886"/>
    <w:rsid w:val="00FA7673"/>
    <w:rsid w:val="00FB57FB"/>
    <w:rsid w:val="00FC36C6"/>
    <w:rsid w:val="00FE14EB"/>
    <w:rsid w:val="00FF3683"/>
    <w:rsid w:val="00FF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F00F"/>
  <w15:docId w15:val="{F5B48629-033A-4C0D-BC9C-803223B1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38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C4382"/>
    <w:pPr>
      <w:suppressAutoHyphens/>
      <w:autoSpaceDN w:val="0"/>
      <w:spacing w:after="0" w:line="240" w:lineRule="auto"/>
    </w:pPr>
    <w:rPr>
      <w:rFonts w:ascii="Times New Roman" w:eastAsia="Calibri" w:hAnsi="Times New Roman" w:cs="Times New Roman"/>
      <w:kern w:val="3"/>
      <w:sz w:val="24"/>
      <w:szCs w:val="24"/>
      <w:lang w:eastAsia="ru-RU"/>
    </w:rPr>
  </w:style>
  <w:style w:type="paragraph" w:styleId="a3">
    <w:name w:val="List Paragraph"/>
    <w:basedOn w:val="a"/>
    <w:uiPriority w:val="34"/>
    <w:qFormat/>
    <w:rsid w:val="002F1A5E"/>
    <w:pPr>
      <w:ind w:left="720"/>
      <w:contextualSpacing/>
    </w:pPr>
  </w:style>
  <w:style w:type="paragraph" w:styleId="a4">
    <w:name w:val="Normal (Web)"/>
    <w:basedOn w:val="a"/>
    <w:uiPriority w:val="99"/>
    <w:unhideWhenUsed/>
    <w:rsid w:val="001A281E"/>
    <w:pPr>
      <w:suppressAutoHyphens w:val="0"/>
      <w:spacing w:before="100" w:beforeAutospacing="1" w:after="100" w:afterAutospacing="1"/>
    </w:pPr>
    <w:rPr>
      <w:lang w:eastAsia="ru-RU"/>
    </w:rPr>
  </w:style>
  <w:style w:type="paragraph" w:styleId="2">
    <w:name w:val="List 2"/>
    <w:basedOn w:val="a"/>
    <w:uiPriority w:val="99"/>
    <w:unhideWhenUsed/>
    <w:rsid w:val="00AA5960"/>
    <w:pPr>
      <w:autoSpaceDN w:val="0"/>
      <w:spacing w:after="120"/>
      <w:ind w:left="566" w:hanging="283"/>
    </w:pPr>
    <w:rPr>
      <w:rFonts w:eastAsia="Calibri"/>
      <w:kern w:val="3"/>
      <w:sz w:val="20"/>
      <w:szCs w:val="20"/>
      <w:lang w:eastAsia="ru-RU"/>
    </w:rPr>
  </w:style>
  <w:style w:type="table" w:styleId="a5">
    <w:name w:val="Table Grid"/>
    <w:basedOn w:val="a1"/>
    <w:rsid w:val="008553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A415C"/>
    <w:rPr>
      <w:rFonts w:ascii="Tahoma" w:hAnsi="Tahoma" w:cs="Tahoma"/>
      <w:sz w:val="16"/>
      <w:szCs w:val="16"/>
    </w:rPr>
  </w:style>
  <w:style w:type="character" w:customStyle="1" w:styleId="a7">
    <w:name w:val="Текст выноски Знак"/>
    <w:basedOn w:val="a0"/>
    <w:link w:val="a6"/>
    <w:uiPriority w:val="99"/>
    <w:semiHidden/>
    <w:rsid w:val="001A415C"/>
    <w:rPr>
      <w:rFonts w:ascii="Tahoma" w:eastAsia="Times New Roman" w:hAnsi="Tahoma" w:cs="Tahoma"/>
      <w:sz w:val="16"/>
      <w:szCs w:val="16"/>
      <w:lang w:eastAsia="zh-CN"/>
    </w:rPr>
  </w:style>
  <w:style w:type="paragraph" w:customStyle="1" w:styleId="TableParagraph">
    <w:name w:val="Table Paragraph"/>
    <w:basedOn w:val="a"/>
    <w:uiPriority w:val="1"/>
    <w:qFormat/>
    <w:rsid w:val="00E50C24"/>
    <w:pPr>
      <w:widowControl w:val="0"/>
      <w:suppressAutoHyphens w:val="0"/>
      <w:autoSpaceDE w:val="0"/>
      <w:autoSpaceDN w:val="0"/>
      <w:spacing w:line="252" w:lineRule="exact"/>
      <w:ind w:left="105"/>
      <w:jc w:val="center"/>
    </w:pPr>
    <w:rPr>
      <w:rFonts w:ascii="Bookman Old Style" w:eastAsia="Bookman Old Style" w:hAnsi="Bookman Old Style" w:cs="Bookman Old Style"/>
      <w:sz w:val="22"/>
      <w:szCs w:val="22"/>
      <w:lang w:eastAsia="en-US"/>
    </w:rPr>
  </w:style>
  <w:style w:type="character" w:customStyle="1" w:styleId="fontstyle0">
    <w:name w:val="fontstyle0"/>
    <w:basedOn w:val="a0"/>
    <w:rsid w:val="00AD1D95"/>
  </w:style>
  <w:style w:type="paragraph" w:customStyle="1" w:styleId="ConsNormal">
    <w:name w:val="ConsNormal"/>
    <w:link w:val="ConsNormal0"/>
    <w:qFormat/>
    <w:rsid w:val="008E5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8E5B09"/>
    <w:rPr>
      <w:rFonts w:ascii="Arial" w:eastAsia="Times New Roman" w:hAnsi="Arial" w:cs="Arial"/>
      <w:sz w:val="20"/>
      <w:szCs w:val="20"/>
      <w:lang w:eastAsia="ru-RU"/>
    </w:rPr>
  </w:style>
  <w:style w:type="paragraph" w:styleId="20">
    <w:name w:val="Body Text 2"/>
    <w:basedOn w:val="a"/>
    <w:link w:val="21"/>
    <w:uiPriority w:val="99"/>
    <w:rsid w:val="008E5B09"/>
    <w:pPr>
      <w:suppressAutoHyphens w:val="0"/>
      <w:spacing w:after="120" w:line="480" w:lineRule="auto"/>
    </w:pPr>
    <w:rPr>
      <w:sz w:val="20"/>
      <w:szCs w:val="20"/>
      <w:lang w:eastAsia="ru-RU"/>
    </w:rPr>
  </w:style>
  <w:style w:type="character" w:customStyle="1" w:styleId="21">
    <w:name w:val="Основной текст 2 Знак"/>
    <w:basedOn w:val="a0"/>
    <w:link w:val="20"/>
    <w:uiPriority w:val="99"/>
    <w:rsid w:val="008E5B09"/>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841D13"/>
    <w:pPr>
      <w:tabs>
        <w:tab w:val="center" w:pos="4677"/>
        <w:tab w:val="right" w:pos="9355"/>
      </w:tabs>
    </w:pPr>
  </w:style>
  <w:style w:type="character" w:customStyle="1" w:styleId="a9">
    <w:name w:val="Верхний колонтитул Знак"/>
    <w:basedOn w:val="a0"/>
    <w:link w:val="a8"/>
    <w:uiPriority w:val="99"/>
    <w:rsid w:val="00841D13"/>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841D13"/>
    <w:pPr>
      <w:tabs>
        <w:tab w:val="center" w:pos="4677"/>
        <w:tab w:val="right" w:pos="9355"/>
      </w:tabs>
    </w:pPr>
  </w:style>
  <w:style w:type="character" w:customStyle="1" w:styleId="ab">
    <w:name w:val="Нижний колонтитул Знак"/>
    <w:basedOn w:val="a0"/>
    <w:link w:val="aa"/>
    <w:uiPriority w:val="99"/>
    <w:rsid w:val="00841D13"/>
    <w:rPr>
      <w:rFonts w:ascii="Times New Roman" w:eastAsia="Times New Roman" w:hAnsi="Times New Roman" w:cs="Times New Roman"/>
      <w:sz w:val="24"/>
      <w:szCs w:val="24"/>
      <w:lang w:eastAsia="zh-CN"/>
    </w:rPr>
  </w:style>
  <w:style w:type="paragraph" w:styleId="ac">
    <w:name w:val="Body Text"/>
    <w:basedOn w:val="a"/>
    <w:link w:val="ad"/>
    <w:uiPriority w:val="99"/>
    <w:semiHidden/>
    <w:unhideWhenUsed/>
    <w:rsid w:val="00841D13"/>
    <w:pPr>
      <w:spacing w:after="120"/>
    </w:pPr>
  </w:style>
  <w:style w:type="character" w:customStyle="1" w:styleId="ad">
    <w:name w:val="Основной текст Знак"/>
    <w:basedOn w:val="a0"/>
    <w:link w:val="ac"/>
    <w:uiPriority w:val="99"/>
    <w:semiHidden/>
    <w:rsid w:val="00841D13"/>
    <w:rPr>
      <w:rFonts w:ascii="Times New Roman" w:eastAsia="Times New Roman" w:hAnsi="Times New Roman" w:cs="Times New Roman"/>
      <w:sz w:val="24"/>
      <w:szCs w:val="24"/>
      <w:lang w:eastAsia="zh-CN"/>
    </w:rPr>
  </w:style>
  <w:style w:type="character" w:styleId="ae">
    <w:name w:val="Hyperlink"/>
    <w:basedOn w:val="a0"/>
    <w:uiPriority w:val="99"/>
    <w:unhideWhenUsed/>
    <w:rsid w:val="005A2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9335">
      <w:bodyDiv w:val="1"/>
      <w:marLeft w:val="0"/>
      <w:marRight w:val="0"/>
      <w:marTop w:val="0"/>
      <w:marBottom w:val="0"/>
      <w:divBdr>
        <w:top w:val="none" w:sz="0" w:space="0" w:color="auto"/>
        <w:left w:val="none" w:sz="0" w:space="0" w:color="auto"/>
        <w:bottom w:val="none" w:sz="0" w:space="0" w:color="auto"/>
        <w:right w:val="none" w:sz="0" w:space="0" w:color="auto"/>
      </w:divBdr>
    </w:div>
    <w:div w:id="139688898">
      <w:bodyDiv w:val="1"/>
      <w:marLeft w:val="0"/>
      <w:marRight w:val="0"/>
      <w:marTop w:val="0"/>
      <w:marBottom w:val="0"/>
      <w:divBdr>
        <w:top w:val="none" w:sz="0" w:space="0" w:color="auto"/>
        <w:left w:val="none" w:sz="0" w:space="0" w:color="auto"/>
        <w:bottom w:val="none" w:sz="0" w:space="0" w:color="auto"/>
        <w:right w:val="none" w:sz="0" w:space="0" w:color="auto"/>
      </w:divBdr>
    </w:div>
    <w:div w:id="311102954">
      <w:bodyDiv w:val="1"/>
      <w:marLeft w:val="0"/>
      <w:marRight w:val="0"/>
      <w:marTop w:val="0"/>
      <w:marBottom w:val="0"/>
      <w:divBdr>
        <w:top w:val="none" w:sz="0" w:space="0" w:color="auto"/>
        <w:left w:val="none" w:sz="0" w:space="0" w:color="auto"/>
        <w:bottom w:val="none" w:sz="0" w:space="0" w:color="auto"/>
        <w:right w:val="none" w:sz="0" w:space="0" w:color="auto"/>
      </w:divBdr>
    </w:div>
    <w:div w:id="424419635">
      <w:bodyDiv w:val="1"/>
      <w:marLeft w:val="0"/>
      <w:marRight w:val="0"/>
      <w:marTop w:val="0"/>
      <w:marBottom w:val="0"/>
      <w:divBdr>
        <w:top w:val="none" w:sz="0" w:space="0" w:color="auto"/>
        <w:left w:val="none" w:sz="0" w:space="0" w:color="auto"/>
        <w:bottom w:val="none" w:sz="0" w:space="0" w:color="auto"/>
        <w:right w:val="none" w:sz="0" w:space="0" w:color="auto"/>
      </w:divBdr>
    </w:div>
    <w:div w:id="445585536">
      <w:bodyDiv w:val="1"/>
      <w:marLeft w:val="0"/>
      <w:marRight w:val="0"/>
      <w:marTop w:val="0"/>
      <w:marBottom w:val="0"/>
      <w:divBdr>
        <w:top w:val="none" w:sz="0" w:space="0" w:color="auto"/>
        <w:left w:val="none" w:sz="0" w:space="0" w:color="auto"/>
        <w:bottom w:val="none" w:sz="0" w:space="0" w:color="auto"/>
        <w:right w:val="none" w:sz="0" w:space="0" w:color="auto"/>
      </w:divBdr>
    </w:div>
    <w:div w:id="472142948">
      <w:bodyDiv w:val="1"/>
      <w:marLeft w:val="0"/>
      <w:marRight w:val="0"/>
      <w:marTop w:val="0"/>
      <w:marBottom w:val="0"/>
      <w:divBdr>
        <w:top w:val="none" w:sz="0" w:space="0" w:color="auto"/>
        <w:left w:val="none" w:sz="0" w:space="0" w:color="auto"/>
        <w:bottom w:val="none" w:sz="0" w:space="0" w:color="auto"/>
        <w:right w:val="none" w:sz="0" w:space="0" w:color="auto"/>
      </w:divBdr>
    </w:div>
    <w:div w:id="596671841">
      <w:bodyDiv w:val="1"/>
      <w:marLeft w:val="0"/>
      <w:marRight w:val="0"/>
      <w:marTop w:val="0"/>
      <w:marBottom w:val="0"/>
      <w:divBdr>
        <w:top w:val="none" w:sz="0" w:space="0" w:color="auto"/>
        <w:left w:val="none" w:sz="0" w:space="0" w:color="auto"/>
        <w:bottom w:val="none" w:sz="0" w:space="0" w:color="auto"/>
        <w:right w:val="none" w:sz="0" w:space="0" w:color="auto"/>
      </w:divBdr>
    </w:div>
    <w:div w:id="627588862">
      <w:bodyDiv w:val="1"/>
      <w:marLeft w:val="0"/>
      <w:marRight w:val="0"/>
      <w:marTop w:val="0"/>
      <w:marBottom w:val="0"/>
      <w:divBdr>
        <w:top w:val="none" w:sz="0" w:space="0" w:color="auto"/>
        <w:left w:val="none" w:sz="0" w:space="0" w:color="auto"/>
        <w:bottom w:val="none" w:sz="0" w:space="0" w:color="auto"/>
        <w:right w:val="none" w:sz="0" w:space="0" w:color="auto"/>
      </w:divBdr>
    </w:div>
    <w:div w:id="638001161">
      <w:bodyDiv w:val="1"/>
      <w:marLeft w:val="0"/>
      <w:marRight w:val="0"/>
      <w:marTop w:val="0"/>
      <w:marBottom w:val="0"/>
      <w:divBdr>
        <w:top w:val="none" w:sz="0" w:space="0" w:color="auto"/>
        <w:left w:val="none" w:sz="0" w:space="0" w:color="auto"/>
        <w:bottom w:val="none" w:sz="0" w:space="0" w:color="auto"/>
        <w:right w:val="none" w:sz="0" w:space="0" w:color="auto"/>
      </w:divBdr>
      <w:divsChild>
        <w:div w:id="2129270991">
          <w:marLeft w:val="0"/>
          <w:marRight w:val="450"/>
          <w:marTop w:val="0"/>
          <w:marBottom w:val="0"/>
          <w:divBdr>
            <w:top w:val="none" w:sz="0" w:space="0" w:color="auto"/>
            <w:left w:val="none" w:sz="0" w:space="0" w:color="auto"/>
            <w:bottom w:val="none" w:sz="0" w:space="0" w:color="auto"/>
            <w:right w:val="none" w:sz="0" w:space="0" w:color="auto"/>
          </w:divBdr>
        </w:div>
        <w:div w:id="1044450081">
          <w:marLeft w:val="0"/>
          <w:marRight w:val="450"/>
          <w:marTop w:val="0"/>
          <w:marBottom w:val="0"/>
          <w:divBdr>
            <w:top w:val="none" w:sz="0" w:space="0" w:color="auto"/>
            <w:left w:val="none" w:sz="0" w:space="0" w:color="auto"/>
            <w:bottom w:val="none" w:sz="0" w:space="0" w:color="auto"/>
            <w:right w:val="none" w:sz="0" w:space="0" w:color="auto"/>
          </w:divBdr>
        </w:div>
        <w:div w:id="620650590">
          <w:marLeft w:val="0"/>
          <w:marRight w:val="0"/>
          <w:marTop w:val="0"/>
          <w:marBottom w:val="0"/>
          <w:divBdr>
            <w:top w:val="none" w:sz="0" w:space="0" w:color="auto"/>
            <w:left w:val="none" w:sz="0" w:space="0" w:color="auto"/>
            <w:bottom w:val="none" w:sz="0" w:space="0" w:color="auto"/>
            <w:right w:val="none" w:sz="0" w:space="0" w:color="auto"/>
          </w:divBdr>
        </w:div>
      </w:divsChild>
    </w:div>
    <w:div w:id="736561523">
      <w:bodyDiv w:val="1"/>
      <w:marLeft w:val="0"/>
      <w:marRight w:val="0"/>
      <w:marTop w:val="0"/>
      <w:marBottom w:val="0"/>
      <w:divBdr>
        <w:top w:val="none" w:sz="0" w:space="0" w:color="auto"/>
        <w:left w:val="none" w:sz="0" w:space="0" w:color="auto"/>
        <w:bottom w:val="none" w:sz="0" w:space="0" w:color="auto"/>
        <w:right w:val="none" w:sz="0" w:space="0" w:color="auto"/>
      </w:divBdr>
    </w:div>
    <w:div w:id="769282630">
      <w:bodyDiv w:val="1"/>
      <w:marLeft w:val="0"/>
      <w:marRight w:val="0"/>
      <w:marTop w:val="0"/>
      <w:marBottom w:val="0"/>
      <w:divBdr>
        <w:top w:val="none" w:sz="0" w:space="0" w:color="auto"/>
        <w:left w:val="none" w:sz="0" w:space="0" w:color="auto"/>
        <w:bottom w:val="none" w:sz="0" w:space="0" w:color="auto"/>
        <w:right w:val="none" w:sz="0" w:space="0" w:color="auto"/>
      </w:divBdr>
    </w:div>
    <w:div w:id="1162500519">
      <w:bodyDiv w:val="1"/>
      <w:marLeft w:val="0"/>
      <w:marRight w:val="0"/>
      <w:marTop w:val="0"/>
      <w:marBottom w:val="0"/>
      <w:divBdr>
        <w:top w:val="none" w:sz="0" w:space="0" w:color="auto"/>
        <w:left w:val="none" w:sz="0" w:space="0" w:color="auto"/>
        <w:bottom w:val="none" w:sz="0" w:space="0" w:color="auto"/>
        <w:right w:val="none" w:sz="0" w:space="0" w:color="auto"/>
      </w:divBdr>
    </w:div>
    <w:div w:id="1405954876">
      <w:bodyDiv w:val="1"/>
      <w:marLeft w:val="0"/>
      <w:marRight w:val="0"/>
      <w:marTop w:val="0"/>
      <w:marBottom w:val="0"/>
      <w:divBdr>
        <w:top w:val="none" w:sz="0" w:space="0" w:color="auto"/>
        <w:left w:val="none" w:sz="0" w:space="0" w:color="auto"/>
        <w:bottom w:val="none" w:sz="0" w:space="0" w:color="auto"/>
        <w:right w:val="none" w:sz="0" w:space="0" w:color="auto"/>
      </w:divBdr>
    </w:div>
    <w:div w:id="1504465458">
      <w:bodyDiv w:val="1"/>
      <w:marLeft w:val="0"/>
      <w:marRight w:val="0"/>
      <w:marTop w:val="0"/>
      <w:marBottom w:val="0"/>
      <w:divBdr>
        <w:top w:val="none" w:sz="0" w:space="0" w:color="auto"/>
        <w:left w:val="none" w:sz="0" w:space="0" w:color="auto"/>
        <w:bottom w:val="none" w:sz="0" w:space="0" w:color="auto"/>
        <w:right w:val="none" w:sz="0" w:space="0" w:color="auto"/>
      </w:divBdr>
    </w:div>
    <w:div w:id="19908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oszdravnadzor.gov.ru/services/mi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59</cp:revision>
  <cp:lastPrinted>2024-10-23T09:32:00Z</cp:lastPrinted>
  <dcterms:created xsi:type="dcterms:W3CDTF">2024-06-11T11:32:00Z</dcterms:created>
  <dcterms:modified xsi:type="dcterms:W3CDTF">2024-10-30T03:45:00Z</dcterms:modified>
</cp:coreProperties>
</file>