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6"/>
        <w:gridCol w:w="13"/>
        <w:gridCol w:w="1870"/>
        <w:gridCol w:w="567"/>
        <w:gridCol w:w="1701"/>
        <w:gridCol w:w="1560"/>
        <w:gridCol w:w="5386"/>
        <w:gridCol w:w="1276"/>
        <w:gridCol w:w="1276"/>
      </w:tblGrid>
      <w:tr w:rsidR="00966016" w:rsidRPr="005D10A9" w14:paraId="3820177F" w14:textId="77777777" w:rsidTr="00877E51">
        <w:trPr>
          <w:trHeight w:val="255"/>
        </w:trPr>
        <w:tc>
          <w:tcPr>
            <w:tcW w:w="540" w:type="dxa"/>
            <w:gridSpan w:val="3"/>
            <w:vMerge w:val="restart"/>
            <w:shd w:val="clear" w:color="auto" w:fill="FFFFFF"/>
          </w:tcPr>
          <w:p w14:paraId="3383C994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FFFFFF"/>
          </w:tcPr>
          <w:p w14:paraId="5E696C1E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Наименование товара</w:t>
            </w:r>
          </w:p>
        </w:tc>
        <w:tc>
          <w:tcPr>
            <w:tcW w:w="9214" w:type="dxa"/>
            <w:gridSpan w:val="4"/>
            <w:shd w:val="clear" w:color="auto" w:fill="FFFFFF"/>
          </w:tcPr>
          <w:p w14:paraId="0D65A513" w14:textId="77777777" w:rsidR="00966016" w:rsidRPr="00732B73" w:rsidRDefault="00966016" w:rsidP="00FA2E0D">
            <w:pPr>
              <w:suppressAutoHyphens/>
              <w:rPr>
                <w:bCs/>
                <w:kern w:val="2"/>
                <w:sz w:val="20"/>
                <w:szCs w:val="20"/>
              </w:rPr>
            </w:pPr>
            <w:r w:rsidRPr="00732B73">
              <w:rPr>
                <w:bCs/>
                <w:sz w:val="20"/>
                <w:szCs w:val="20"/>
              </w:rPr>
              <w:t>Т</w:t>
            </w:r>
            <w:r w:rsidRPr="00732B73">
              <w:rPr>
                <w:sz w:val="20"/>
                <w:szCs w:val="20"/>
              </w:rPr>
              <w:t>ребования к функциональным, техническим и качественным характеристикам, эксплуатационным характеристикам (при необходимости) товара</w:t>
            </w:r>
          </w:p>
        </w:tc>
        <w:tc>
          <w:tcPr>
            <w:tcW w:w="1276" w:type="dxa"/>
            <w:shd w:val="clear" w:color="auto" w:fill="FFFFFF"/>
          </w:tcPr>
          <w:p w14:paraId="0F7A8C24" w14:textId="77777777" w:rsidR="00966016" w:rsidRPr="005D10A9" w:rsidRDefault="00966016" w:rsidP="00FA2E0D">
            <w:pPr>
              <w:suppressAutoHyphens/>
              <w:rPr>
                <w:bCs/>
                <w:kern w:val="2"/>
                <w:sz w:val="20"/>
                <w:szCs w:val="20"/>
              </w:rPr>
            </w:pPr>
            <w:r w:rsidRPr="005D10A9">
              <w:rPr>
                <w:bCs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shd w:val="clear" w:color="auto" w:fill="FFFFFF"/>
          </w:tcPr>
          <w:p w14:paraId="6B5F0A6E" w14:textId="77777777" w:rsidR="00966016" w:rsidRPr="005D10A9" w:rsidRDefault="00966016" w:rsidP="00FA2E0D">
            <w:pPr>
              <w:suppressAutoHyphens/>
              <w:rPr>
                <w:rFonts w:eastAsia="DejaVu Sans"/>
                <w:kern w:val="2"/>
                <w:sz w:val="20"/>
                <w:szCs w:val="20"/>
                <w:lang w:eastAsia="zh-CN" w:bidi="hi-IN"/>
              </w:rPr>
            </w:pPr>
            <w:r w:rsidRPr="005D10A9">
              <w:rPr>
                <w:bCs/>
                <w:sz w:val="20"/>
                <w:szCs w:val="20"/>
              </w:rPr>
              <w:t>Количество товара</w:t>
            </w:r>
          </w:p>
        </w:tc>
      </w:tr>
      <w:tr w:rsidR="00966016" w:rsidRPr="005D10A9" w14:paraId="444E88F0" w14:textId="77777777" w:rsidTr="00877E51">
        <w:trPr>
          <w:trHeight w:val="765"/>
        </w:trPr>
        <w:tc>
          <w:tcPr>
            <w:tcW w:w="540" w:type="dxa"/>
            <w:gridSpan w:val="3"/>
            <w:vMerge/>
            <w:shd w:val="clear" w:color="auto" w:fill="auto"/>
          </w:tcPr>
          <w:p w14:paraId="42322E97" w14:textId="77777777" w:rsidR="00966016" w:rsidRPr="00732B73" w:rsidRDefault="00966016" w:rsidP="00FA2E0D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2019429" w14:textId="77777777" w:rsidR="00966016" w:rsidRPr="00732B73" w:rsidRDefault="00966016" w:rsidP="00FA2E0D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19D958D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FFFFFF"/>
          </w:tcPr>
          <w:p w14:paraId="757F25F3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FFFFFF"/>
          </w:tcPr>
          <w:p w14:paraId="29DFD26A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5386" w:type="dxa"/>
            <w:shd w:val="clear" w:color="auto" w:fill="FFFFFF"/>
          </w:tcPr>
          <w:p w14:paraId="0A97FF28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Значения показателей</w:t>
            </w:r>
          </w:p>
        </w:tc>
        <w:tc>
          <w:tcPr>
            <w:tcW w:w="1276" w:type="dxa"/>
            <w:shd w:val="clear" w:color="auto" w:fill="auto"/>
          </w:tcPr>
          <w:p w14:paraId="02E08841" w14:textId="77777777" w:rsidR="00966016" w:rsidRPr="005D10A9" w:rsidRDefault="00966016" w:rsidP="00FA2E0D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D7CFDF" w14:textId="77777777" w:rsidR="00966016" w:rsidRPr="005D10A9" w:rsidRDefault="00966016" w:rsidP="00FA2E0D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1043B0DE" w14:textId="77777777" w:rsidTr="00877E51">
        <w:trPr>
          <w:trHeight w:val="255"/>
        </w:trPr>
        <w:tc>
          <w:tcPr>
            <w:tcW w:w="540" w:type="dxa"/>
            <w:gridSpan w:val="3"/>
            <w:shd w:val="clear" w:color="auto" w:fill="FFFFFF"/>
          </w:tcPr>
          <w:p w14:paraId="13E83163" w14:textId="7777777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 w:rsidRPr="00732B73"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FFFFFF"/>
          </w:tcPr>
          <w:p w14:paraId="286E4D86" w14:textId="6F20304A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2AA0DC0E" w14:textId="579483E5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7826DEC6" w14:textId="2514AE57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063D3C08" w14:textId="7E770141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5</w:t>
            </w:r>
          </w:p>
        </w:tc>
        <w:tc>
          <w:tcPr>
            <w:tcW w:w="5386" w:type="dxa"/>
            <w:shd w:val="clear" w:color="auto" w:fill="FFFFFF"/>
          </w:tcPr>
          <w:p w14:paraId="7634BA2C" w14:textId="3A4D42CB" w:rsidR="00966016" w:rsidRPr="00732B73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5A9FFA99" w14:textId="7188312D" w:rsidR="00966016" w:rsidRPr="005D10A9" w:rsidRDefault="00966016" w:rsidP="00FA2E0D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465D9C58" w14:textId="1A3F445B" w:rsidR="00966016" w:rsidRPr="005D10A9" w:rsidRDefault="00966016" w:rsidP="00FA2E0D">
            <w:pPr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</w:t>
            </w:r>
          </w:p>
        </w:tc>
      </w:tr>
      <w:tr w:rsidR="00966016" w:rsidRPr="005D10A9" w14:paraId="741E24B7" w14:textId="77777777" w:rsidTr="00877E51">
        <w:tc>
          <w:tcPr>
            <w:tcW w:w="540" w:type="dxa"/>
            <w:gridSpan w:val="3"/>
            <w:vMerge w:val="restart"/>
            <w:shd w:val="clear" w:color="auto" w:fill="auto"/>
          </w:tcPr>
          <w:p w14:paraId="0FE4E069" w14:textId="77777777" w:rsidR="00966016" w:rsidRPr="00732B73" w:rsidRDefault="00966016" w:rsidP="00FA2E0D">
            <w:pPr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490E6376" w14:textId="6BCA0E33" w:rsidR="00966016" w:rsidRPr="005E1043" w:rsidRDefault="00966016" w:rsidP="005F4D8B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Компонент эндопротеза коленного сустава </w:t>
            </w:r>
            <w:proofErr w:type="spellStart"/>
            <w:r w:rsidRPr="00732B73">
              <w:rPr>
                <w:sz w:val="20"/>
                <w:szCs w:val="20"/>
              </w:rPr>
              <w:t>феморальный</w:t>
            </w:r>
            <w:proofErr w:type="spellEnd"/>
            <w:r w:rsidRPr="00732B73">
              <w:rPr>
                <w:sz w:val="20"/>
                <w:szCs w:val="20"/>
              </w:rPr>
              <w:t xml:space="preserve"> непокрытый</w:t>
            </w:r>
            <w:r w:rsidR="005E1043" w:rsidRPr="005E1043">
              <w:rPr>
                <w:sz w:val="20"/>
                <w:szCs w:val="20"/>
              </w:rPr>
              <w:t xml:space="preserve"> </w:t>
            </w:r>
            <w:r w:rsidR="005E1043">
              <w:rPr>
                <w:sz w:val="20"/>
                <w:szCs w:val="20"/>
                <w:lang w:val="en-US"/>
              </w:rPr>
              <w:t>XN</w:t>
            </w:r>
            <w:r w:rsidR="005E1043" w:rsidRPr="005E1043">
              <w:rPr>
                <w:sz w:val="20"/>
                <w:szCs w:val="20"/>
              </w:rPr>
              <w:t>-</w:t>
            </w:r>
            <w:r w:rsidR="005E1043">
              <w:rPr>
                <w:sz w:val="20"/>
                <w:szCs w:val="20"/>
                <w:lang w:val="en-US"/>
              </w:rPr>
              <w:t>PS</w:t>
            </w:r>
            <w:r w:rsidR="005E1043" w:rsidRPr="005E1043">
              <w:rPr>
                <w:sz w:val="20"/>
                <w:szCs w:val="20"/>
              </w:rPr>
              <w:t xml:space="preserve"> </w:t>
            </w:r>
            <w:r w:rsidR="005E1043">
              <w:rPr>
                <w:sz w:val="20"/>
                <w:szCs w:val="20"/>
                <w:lang w:val="en-US"/>
              </w:rPr>
              <w:t>Femoral</w:t>
            </w:r>
            <w:r w:rsidR="005E1043" w:rsidRPr="005E1043">
              <w:rPr>
                <w:sz w:val="20"/>
                <w:szCs w:val="20"/>
              </w:rPr>
              <w:t xml:space="preserve"> </w:t>
            </w:r>
            <w:proofErr w:type="gramStart"/>
            <w:r w:rsidR="005E1043">
              <w:rPr>
                <w:sz w:val="20"/>
                <w:szCs w:val="20"/>
                <w:lang w:val="en-US"/>
              </w:rPr>
              <w:t>component</w:t>
            </w:r>
            <w:r w:rsidR="005E1043">
              <w:rPr>
                <w:sz w:val="20"/>
                <w:szCs w:val="20"/>
              </w:rPr>
              <w:t xml:space="preserve">, </w:t>
            </w:r>
            <w:r w:rsidR="005E1043" w:rsidRPr="005E1043">
              <w:rPr>
                <w:sz w:val="20"/>
                <w:szCs w:val="20"/>
              </w:rPr>
              <w:t xml:space="preserve"> </w:t>
            </w:r>
            <w:r w:rsidR="005E1043">
              <w:rPr>
                <w:sz w:val="20"/>
                <w:szCs w:val="20"/>
                <w:lang w:val="en-US"/>
              </w:rPr>
              <w:t>cemented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14:paraId="480A851A" w14:textId="77777777" w:rsidR="00966016" w:rsidRPr="00732B73" w:rsidRDefault="00966016" w:rsidP="00FA2E0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56A10B1D" w14:textId="77777777" w:rsidR="00966016" w:rsidRPr="00732B73" w:rsidRDefault="00966016" w:rsidP="00FA2E0D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Описание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B343B1D" w14:textId="77777777" w:rsidR="00966016" w:rsidRPr="00732B73" w:rsidRDefault="00966016" w:rsidP="00FA2E0D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DCCB0BD" w14:textId="77777777" w:rsidR="00966016" w:rsidRPr="00732B73" w:rsidRDefault="00966016" w:rsidP="00FA2E0D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Стерильное имплантируемое изделие, предназначенное для замещения мыщелков бедренной кости (</w:t>
            </w:r>
            <w:proofErr w:type="spellStart"/>
            <w:r w:rsidRPr="00732B73">
              <w:rPr>
                <w:sz w:val="20"/>
                <w:szCs w:val="20"/>
              </w:rPr>
              <w:t>феморальный</w:t>
            </w:r>
            <w:proofErr w:type="spellEnd"/>
            <w:r w:rsidRPr="00732B73">
              <w:rPr>
                <w:sz w:val="20"/>
                <w:szCs w:val="20"/>
              </w:rPr>
              <w:t xml:space="preserve"> компонент) при проведении первичной </w:t>
            </w:r>
            <w:proofErr w:type="spellStart"/>
            <w:r w:rsidRPr="00732B73">
              <w:rPr>
                <w:sz w:val="20"/>
                <w:szCs w:val="20"/>
              </w:rPr>
              <w:t>двумыщелковой</w:t>
            </w:r>
            <w:proofErr w:type="spellEnd"/>
            <w:r w:rsidRPr="00732B73">
              <w:rPr>
                <w:sz w:val="20"/>
                <w:szCs w:val="20"/>
              </w:rPr>
              <w:t xml:space="preserve"> замены коленного сустава, резекции бедренной кости или при замене неработающего эндопротеза коленного сустава (ревизии). Изделие изготавливается из металла </w:t>
            </w:r>
            <w:proofErr w:type="gramStart"/>
            <w:r w:rsidRPr="00732B73">
              <w:rPr>
                <w:sz w:val="20"/>
                <w:szCs w:val="20"/>
              </w:rPr>
              <w:t>[например</w:t>
            </w:r>
            <w:proofErr w:type="gramEnd"/>
            <w:r w:rsidRPr="00732B73">
              <w:rPr>
                <w:sz w:val="20"/>
                <w:szCs w:val="20"/>
              </w:rPr>
              <w:t>, сплавов кобальт-хром (</w:t>
            </w:r>
            <w:proofErr w:type="spellStart"/>
            <w:r w:rsidRPr="00732B73">
              <w:rPr>
                <w:sz w:val="20"/>
                <w:szCs w:val="20"/>
              </w:rPr>
              <w:t>Co-Cr</w:t>
            </w:r>
            <w:proofErr w:type="spellEnd"/>
            <w:r w:rsidRPr="00732B73">
              <w:rPr>
                <w:sz w:val="20"/>
                <w:szCs w:val="20"/>
              </w:rPr>
              <w:t>), кобальт-хром-молибден (</w:t>
            </w:r>
            <w:proofErr w:type="spellStart"/>
            <w:r w:rsidRPr="00732B73">
              <w:rPr>
                <w:sz w:val="20"/>
                <w:szCs w:val="20"/>
              </w:rPr>
              <w:t>Co-Cr-Mo</w:t>
            </w:r>
            <w:proofErr w:type="spellEnd"/>
            <w:r w:rsidRPr="00732B73">
              <w:rPr>
                <w:sz w:val="20"/>
                <w:szCs w:val="20"/>
              </w:rPr>
              <w:t>) или титана (</w:t>
            </w:r>
            <w:proofErr w:type="spellStart"/>
            <w:r w:rsidRPr="00732B73">
              <w:rPr>
                <w:sz w:val="20"/>
                <w:szCs w:val="20"/>
              </w:rPr>
              <w:t>Ti</w:t>
            </w:r>
            <w:proofErr w:type="spellEnd"/>
            <w:r w:rsidRPr="00732B73">
              <w:rPr>
                <w:sz w:val="20"/>
                <w:szCs w:val="20"/>
              </w:rPr>
              <w:t xml:space="preserve">)] и не покрыто материалом, обеспечивающим улучшение фиксации и стабильности за счет способствования прорастанию кости. Изделие разработано для сочленения с </w:t>
            </w:r>
            <w:proofErr w:type="spellStart"/>
            <w:r w:rsidRPr="00732B73">
              <w:rPr>
                <w:sz w:val="20"/>
                <w:szCs w:val="20"/>
              </w:rPr>
              <w:t>тибиальным</w:t>
            </w:r>
            <w:proofErr w:type="spellEnd"/>
            <w:r w:rsidRPr="00732B73">
              <w:rPr>
                <w:sz w:val="20"/>
                <w:szCs w:val="20"/>
              </w:rPr>
              <w:t xml:space="preserve"> и, при необходимости, </w:t>
            </w:r>
            <w:proofErr w:type="spellStart"/>
            <w:r w:rsidRPr="00732B73">
              <w:rPr>
                <w:sz w:val="20"/>
                <w:szCs w:val="20"/>
              </w:rPr>
              <w:t>пателлярным</w:t>
            </w:r>
            <w:proofErr w:type="spellEnd"/>
            <w:r w:rsidRPr="00732B73">
              <w:rPr>
                <w:sz w:val="20"/>
                <w:szCs w:val="20"/>
              </w:rPr>
              <w:t xml:space="preserve"> компонентами эндопротеза коленного сустава, имплантация должна проводиться с использованием костного цемента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A5ECD5" w14:textId="77777777" w:rsidR="00966016" w:rsidRPr="005D10A9" w:rsidRDefault="00966016" w:rsidP="00FA2E0D">
            <w:pPr>
              <w:ind w:left="57" w:right="57"/>
              <w:rPr>
                <w:kern w:val="1"/>
                <w:sz w:val="20"/>
                <w:szCs w:val="20"/>
              </w:rPr>
            </w:pPr>
            <w:r w:rsidRPr="005D10A9">
              <w:rPr>
                <w:kern w:val="1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7B9C0A" w14:textId="1D49E03F" w:rsidR="00966016" w:rsidRPr="00336D77" w:rsidRDefault="00966016" w:rsidP="00336D77">
            <w:pPr>
              <w:jc w:val="center"/>
              <w:rPr>
                <w:kern w:val="1"/>
                <w:sz w:val="20"/>
                <w:szCs w:val="20"/>
                <w:lang w:val="en-US"/>
              </w:rPr>
            </w:pPr>
            <w:r>
              <w:rPr>
                <w:kern w:val="1"/>
                <w:sz w:val="20"/>
                <w:szCs w:val="20"/>
                <w:lang w:val="en-US"/>
              </w:rPr>
              <w:t>8</w:t>
            </w:r>
          </w:p>
        </w:tc>
      </w:tr>
      <w:tr w:rsidR="00966016" w:rsidRPr="005D10A9" w14:paraId="0B549607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3043CCC4" w14:textId="77777777" w:rsidR="00966016" w:rsidRPr="00732B73" w:rsidRDefault="00966016" w:rsidP="00FA2E0D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2E66D5C" w14:textId="77777777" w:rsidR="00966016" w:rsidRPr="00732B73" w:rsidRDefault="00966016" w:rsidP="00FA2E0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3CFE4301" w14:textId="77777777" w:rsidR="00966016" w:rsidRPr="00732B73" w:rsidRDefault="00966016" w:rsidP="00FA2E0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15D5C60" w14:textId="6FD2B351" w:rsidR="00966016" w:rsidRPr="00732B73" w:rsidRDefault="00966016" w:rsidP="00FA2E0D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Анатомическая форма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5AD8EA3" w14:textId="77777777" w:rsidR="00966016" w:rsidRPr="00732B73" w:rsidRDefault="00966016" w:rsidP="00FA2E0D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58213B2" w14:textId="77777777" w:rsidR="00966016" w:rsidRPr="00732B73" w:rsidRDefault="00966016" w:rsidP="00FA2E0D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Левая</w:t>
            </w:r>
          </w:p>
          <w:p w14:paraId="1E45F329" w14:textId="1356C5CF" w:rsidR="00966016" w:rsidRPr="00732B73" w:rsidRDefault="00966016" w:rsidP="00FA2E0D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Правая</w:t>
            </w:r>
          </w:p>
        </w:tc>
        <w:tc>
          <w:tcPr>
            <w:tcW w:w="1276" w:type="dxa"/>
            <w:vMerge/>
            <w:shd w:val="clear" w:color="auto" w:fill="auto"/>
          </w:tcPr>
          <w:p w14:paraId="773324B1" w14:textId="77777777" w:rsidR="00966016" w:rsidRPr="005D10A9" w:rsidRDefault="00966016" w:rsidP="00FA2E0D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139C02" w14:textId="77777777" w:rsidR="00966016" w:rsidRPr="005D10A9" w:rsidRDefault="00966016" w:rsidP="00FA2E0D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71978F99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3586C766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DF22CC0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EAB8C00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626DC6D" w14:textId="0DC266E2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Исполнение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E32853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826378B" w14:textId="4D55A7F0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Без сохранения крестообразной связки</w:t>
            </w:r>
          </w:p>
          <w:p w14:paraId="348ED31E" w14:textId="1ACA7161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С сохранением крестообразной связки</w:t>
            </w:r>
          </w:p>
        </w:tc>
        <w:tc>
          <w:tcPr>
            <w:tcW w:w="1276" w:type="dxa"/>
            <w:vMerge/>
            <w:shd w:val="clear" w:color="auto" w:fill="auto"/>
          </w:tcPr>
          <w:p w14:paraId="23A227AA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D8789B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EC9A19F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43736EB3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D16636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EEFB03E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C492E36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Крепление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E7EB8D7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E85E72C" w14:textId="77777777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С выступами</w:t>
            </w:r>
          </w:p>
        </w:tc>
        <w:tc>
          <w:tcPr>
            <w:tcW w:w="1276" w:type="dxa"/>
            <w:vMerge/>
            <w:shd w:val="clear" w:color="auto" w:fill="auto"/>
          </w:tcPr>
          <w:p w14:paraId="301197EE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FE45D4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34DA280E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58F1FCFD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6804B76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2DB9B8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DE948BA" w14:textId="4FDEE140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Материал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97EF80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4CBC982" w14:textId="5123CC43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Кобальт-хромовый сплав</w:t>
            </w:r>
          </w:p>
        </w:tc>
        <w:tc>
          <w:tcPr>
            <w:tcW w:w="1276" w:type="dxa"/>
            <w:vMerge/>
            <w:shd w:val="clear" w:color="auto" w:fill="auto"/>
          </w:tcPr>
          <w:p w14:paraId="7E458D33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46EC0A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75FC323C" w14:textId="77777777" w:rsidTr="00877E51">
        <w:trPr>
          <w:trHeight w:val="71"/>
        </w:trPr>
        <w:tc>
          <w:tcPr>
            <w:tcW w:w="540" w:type="dxa"/>
            <w:gridSpan w:val="3"/>
            <w:vMerge/>
            <w:shd w:val="clear" w:color="auto" w:fill="auto"/>
          </w:tcPr>
          <w:p w14:paraId="0187646C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4A0FB48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2ED4B6D3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317682F0" w14:textId="1ADD49CE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Медиолатеральный размер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A89F333" w14:textId="6043F0D6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Миллиметр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943C658" w14:textId="4BFBA02A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57 и ≤ 62</w:t>
            </w:r>
          </w:p>
        </w:tc>
        <w:tc>
          <w:tcPr>
            <w:tcW w:w="1276" w:type="dxa"/>
            <w:vMerge/>
            <w:shd w:val="clear" w:color="auto" w:fill="auto"/>
          </w:tcPr>
          <w:p w14:paraId="55764A42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0B9913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C0B83B1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1ED0A10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3678AE8B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ECCDF3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249D11B6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8BD31D5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D2D937E" w14:textId="191BF093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62 и ≤ 67</w:t>
            </w:r>
          </w:p>
        </w:tc>
        <w:tc>
          <w:tcPr>
            <w:tcW w:w="1276" w:type="dxa"/>
            <w:vMerge/>
            <w:shd w:val="clear" w:color="auto" w:fill="auto"/>
          </w:tcPr>
          <w:p w14:paraId="1604BAFD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862A24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5C22E3FA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30C7E44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ED6EFB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6B63C48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8336DF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80EBECD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58BA940A" w14:textId="106BC501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67 и ≤ 72</w:t>
            </w:r>
          </w:p>
        </w:tc>
        <w:tc>
          <w:tcPr>
            <w:tcW w:w="1276" w:type="dxa"/>
            <w:vMerge/>
            <w:shd w:val="clear" w:color="auto" w:fill="auto"/>
          </w:tcPr>
          <w:p w14:paraId="68CB9FEB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C2D99A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381D19E7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4190D166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7C1DB5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308E45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72C8C9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31A2C10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0E1925ED" w14:textId="64D8717C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72 и ≤ 77</w:t>
            </w:r>
          </w:p>
        </w:tc>
        <w:tc>
          <w:tcPr>
            <w:tcW w:w="1276" w:type="dxa"/>
            <w:vMerge/>
            <w:shd w:val="clear" w:color="auto" w:fill="auto"/>
          </w:tcPr>
          <w:p w14:paraId="6183B9B3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780323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41DC502F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4F7771A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CC98EC6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B7721F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45FBB8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7A92079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E4FAF47" w14:textId="1D339833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77 и ≤ 82</w:t>
            </w:r>
          </w:p>
        </w:tc>
        <w:tc>
          <w:tcPr>
            <w:tcW w:w="1276" w:type="dxa"/>
            <w:vMerge/>
            <w:shd w:val="clear" w:color="auto" w:fill="auto"/>
          </w:tcPr>
          <w:p w14:paraId="4113079E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181B4F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5484F8F1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073472F8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EC1FC1A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2F1543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7F3828CD" w14:textId="05CC8485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Назначение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823F7B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27CA1798" w14:textId="68678FBF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Первичный</w:t>
            </w:r>
          </w:p>
        </w:tc>
        <w:tc>
          <w:tcPr>
            <w:tcW w:w="1276" w:type="dxa"/>
            <w:vMerge/>
            <w:shd w:val="clear" w:color="auto" w:fill="auto"/>
          </w:tcPr>
          <w:p w14:paraId="5782A02B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476F48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26BDB739" w14:textId="77777777" w:rsidTr="00877E51">
        <w:trPr>
          <w:trHeight w:val="71"/>
        </w:trPr>
        <w:tc>
          <w:tcPr>
            <w:tcW w:w="540" w:type="dxa"/>
            <w:gridSpan w:val="3"/>
            <w:vMerge/>
            <w:shd w:val="clear" w:color="auto" w:fill="auto"/>
          </w:tcPr>
          <w:p w14:paraId="2F85256A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EE045EA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2CE724E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3A7FBEB5" w14:textId="36312F96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Переднезадний размер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1C40B35" w14:textId="519C1891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Миллиметр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8EEC7D8" w14:textId="67A9A1EC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50 и ≤ 55</w:t>
            </w:r>
          </w:p>
        </w:tc>
        <w:tc>
          <w:tcPr>
            <w:tcW w:w="1276" w:type="dxa"/>
            <w:vMerge/>
            <w:shd w:val="clear" w:color="auto" w:fill="auto"/>
          </w:tcPr>
          <w:p w14:paraId="582C88FF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9087FC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4F4DE31B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24CE6818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15DF77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CEA7D12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ACCFF4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0569CAD8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6976C9A" w14:textId="22426744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55 и ≤ 60</w:t>
            </w:r>
          </w:p>
        </w:tc>
        <w:tc>
          <w:tcPr>
            <w:tcW w:w="1276" w:type="dxa"/>
            <w:vMerge/>
            <w:shd w:val="clear" w:color="auto" w:fill="auto"/>
          </w:tcPr>
          <w:p w14:paraId="17F1B699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F6DB75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5C4082AE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7A0E6736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0242BDE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6B3C74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9F1C52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B24CCB1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DCDA19A" w14:textId="50ACF31C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60 и ≤ 65</w:t>
            </w:r>
          </w:p>
        </w:tc>
        <w:tc>
          <w:tcPr>
            <w:tcW w:w="1276" w:type="dxa"/>
            <w:vMerge/>
            <w:shd w:val="clear" w:color="auto" w:fill="auto"/>
          </w:tcPr>
          <w:p w14:paraId="05374A6C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2EB773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28FAA54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31E2272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93338F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D1D770E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E6D42A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0A3EAF2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B7928BE" w14:textId="5DB6CE59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65 и ≤ 70</w:t>
            </w:r>
          </w:p>
        </w:tc>
        <w:tc>
          <w:tcPr>
            <w:tcW w:w="1276" w:type="dxa"/>
            <w:vMerge/>
            <w:shd w:val="clear" w:color="auto" w:fill="auto"/>
          </w:tcPr>
          <w:p w14:paraId="4B609B70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37FA71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9476599" w14:textId="77777777" w:rsidTr="00877E51">
        <w:trPr>
          <w:trHeight w:val="70"/>
        </w:trPr>
        <w:tc>
          <w:tcPr>
            <w:tcW w:w="540" w:type="dxa"/>
            <w:gridSpan w:val="3"/>
            <w:vMerge/>
            <w:shd w:val="clear" w:color="auto" w:fill="auto"/>
          </w:tcPr>
          <w:p w14:paraId="5C8613DB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55202D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6434527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DC09D3E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15D3694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003AA8D" w14:textId="63DF6980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70 и ≤ 75</w:t>
            </w:r>
          </w:p>
        </w:tc>
        <w:tc>
          <w:tcPr>
            <w:tcW w:w="1276" w:type="dxa"/>
            <w:vMerge/>
            <w:shd w:val="clear" w:color="auto" w:fill="auto"/>
          </w:tcPr>
          <w:p w14:paraId="3DC14F5B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0E3D03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2CB90EB9" w14:textId="77777777" w:rsidTr="00877E51">
        <w:trPr>
          <w:trHeight w:val="349"/>
        </w:trPr>
        <w:tc>
          <w:tcPr>
            <w:tcW w:w="540" w:type="dxa"/>
            <w:gridSpan w:val="3"/>
            <w:vMerge/>
            <w:shd w:val="clear" w:color="auto" w:fill="auto"/>
          </w:tcPr>
          <w:p w14:paraId="684A0ECD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45E3C5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5E3E2588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1132AE5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Расстояние между мыщелками клона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573AF0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Миллиметр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D7CE248" w14:textId="5D20D261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≥ 14 и ≤ 16</w:t>
            </w:r>
          </w:p>
        </w:tc>
        <w:tc>
          <w:tcPr>
            <w:tcW w:w="1276" w:type="dxa"/>
            <w:vMerge/>
            <w:shd w:val="clear" w:color="auto" w:fill="auto"/>
          </w:tcPr>
          <w:p w14:paraId="56F7D576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C500B5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336B2ABE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5276A97F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1679EA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F3DCA0E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207D31B6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E8D68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Миллиметр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87BCB58" w14:textId="0DC87B54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bCs/>
                <w:kern w:val="1"/>
                <w:sz w:val="20"/>
                <w:szCs w:val="20"/>
              </w:rPr>
              <w:t>≥ 16 и ≤ 18</w:t>
            </w:r>
          </w:p>
        </w:tc>
        <w:tc>
          <w:tcPr>
            <w:tcW w:w="1276" w:type="dxa"/>
            <w:vMerge/>
            <w:shd w:val="clear" w:color="auto" w:fill="auto"/>
          </w:tcPr>
          <w:p w14:paraId="34A977A1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5F346D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0C74FFF" w14:textId="77777777" w:rsidTr="00877E51">
        <w:trPr>
          <w:trHeight w:val="91"/>
        </w:trPr>
        <w:tc>
          <w:tcPr>
            <w:tcW w:w="540" w:type="dxa"/>
            <w:gridSpan w:val="3"/>
            <w:vMerge/>
            <w:shd w:val="clear" w:color="auto" w:fill="auto"/>
          </w:tcPr>
          <w:p w14:paraId="31537924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5798BD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62F6E0E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2411F1CC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4B4F7A49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50A69669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6CFD138D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1CF07D1C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7D280808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51FFD6ED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16313A94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3007B308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74BA7506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195DA8FD" w14:textId="77777777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</w:p>
          <w:p w14:paraId="341E7B99" w14:textId="30286955" w:rsidR="00966016" w:rsidRPr="00732B73" w:rsidRDefault="00966016" w:rsidP="0081559F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Форма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10785E39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4C368AD" w14:textId="51F15F5C" w:rsidR="00966016" w:rsidRPr="00732B73" w:rsidRDefault="00966016" w:rsidP="00663D7D">
            <w:pPr>
              <w:ind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Конструкция расширения, углубления и удлинения блока надколенника.</w:t>
            </w:r>
          </w:p>
        </w:tc>
        <w:tc>
          <w:tcPr>
            <w:tcW w:w="1276" w:type="dxa"/>
            <w:vMerge/>
            <w:shd w:val="clear" w:color="auto" w:fill="auto"/>
          </w:tcPr>
          <w:p w14:paraId="46C6BA5E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E8746D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2B021AA7" w14:textId="77777777" w:rsidTr="00877E51">
        <w:trPr>
          <w:trHeight w:val="87"/>
        </w:trPr>
        <w:tc>
          <w:tcPr>
            <w:tcW w:w="540" w:type="dxa"/>
            <w:gridSpan w:val="3"/>
            <w:vMerge/>
            <w:shd w:val="clear" w:color="auto" w:fill="auto"/>
          </w:tcPr>
          <w:p w14:paraId="0F07BF8C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CC05C38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A9EDA9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B348B47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9CFF417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9D3F344" w14:textId="4BD46E5F" w:rsidR="00966016" w:rsidRPr="00732B73" w:rsidRDefault="00966016" w:rsidP="004722D9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Дугообразная конструкция с обеих сторон мыщелка</w:t>
            </w:r>
          </w:p>
        </w:tc>
        <w:tc>
          <w:tcPr>
            <w:tcW w:w="1276" w:type="dxa"/>
            <w:vMerge/>
            <w:shd w:val="clear" w:color="auto" w:fill="auto"/>
          </w:tcPr>
          <w:p w14:paraId="3E2603A6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66D4E4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757E5148" w14:textId="77777777" w:rsidTr="00877E51">
        <w:trPr>
          <w:trHeight w:val="87"/>
        </w:trPr>
        <w:tc>
          <w:tcPr>
            <w:tcW w:w="540" w:type="dxa"/>
            <w:gridSpan w:val="3"/>
            <w:vMerge/>
            <w:shd w:val="clear" w:color="auto" w:fill="auto"/>
          </w:tcPr>
          <w:p w14:paraId="0AC53AC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4792F9C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82417D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BB448DC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E5BF604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8F9C5FB" w14:textId="3A22BC7E" w:rsidR="00966016" w:rsidRPr="00732B73" w:rsidRDefault="00966016" w:rsidP="004722D9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Полуоткрытая конструкция межмыщелковой вырезки</w:t>
            </w:r>
          </w:p>
        </w:tc>
        <w:tc>
          <w:tcPr>
            <w:tcW w:w="1276" w:type="dxa"/>
            <w:vMerge/>
            <w:shd w:val="clear" w:color="auto" w:fill="auto"/>
          </w:tcPr>
          <w:p w14:paraId="73EACA44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5E9B73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52992F16" w14:textId="77777777" w:rsidTr="00877E51">
        <w:trPr>
          <w:trHeight w:val="87"/>
        </w:trPr>
        <w:tc>
          <w:tcPr>
            <w:tcW w:w="540" w:type="dxa"/>
            <w:gridSpan w:val="3"/>
            <w:vMerge/>
            <w:shd w:val="clear" w:color="auto" w:fill="auto"/>
          </w:tcPr>
          <w:p w14:paraId="0A013471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391CE5F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BA6F8A3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F9D7527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6A467C1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C2D4A6D" w14:textId="3D2AADDC" w:rsidR="00966016" w:rsidRPr="00732B73" w:rsidRDefault="00966016" w:rsidP="004722D9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Тонкая стенка переднего мыщелка и анатомический дизайн дуги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auto"/>
          </w:tcPr>
          <w:p w14:paraId="7204C36D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CA1520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76300C4D" w14:textId="77777777" w:rsidTr="00877E51">
        <w:trPr>
          <w:trHeight w:val="87"/>
        </w:trPr>
        <w:tc>
          <w:tcPr>
            <w:tcW w:w="540" w:type="dxa"/>
            <w:gridSpan w:val="3"/>
            <w:vMerge/>
            <w:shd w:val="clear" w:color="auto" w:fill="auto"/>
          </w:tcPr>
          <w:p w14:paraId="59B03D4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54BD4A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592A3BB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4420A5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49469AD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CA6EE29" w14:textId="62146263" w:rsidR="00966016" w:rsidRPr="00732B73" w:rsidRDefault="00966016" w:rsidP="004722D9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Наличие двух </w:t>
            </w:r>
            <w:proofErr w:type="spellStart"/>
            <w:r w:rsidRPr="00732B73">
              <w:rPr>
                <w:sz w:val="20"/>
                <w:szCs w:val="20"/>
              </w:rPr>
              <w:t>антиротационных</w:t>
            </w:r>
            <w:proofErr w:type="spellEnd"/>
            <w:r w:rsidRPr="00732B73">
              <w:rPr>
                <w:sz w:val="20"/>
                <w:szCs w:val="20"/>
              </w:rPr>
              <w:t xml:space="preserve"> штифтов в форме колонны</w:t>
            </w:r>
          </w:p>
        </w:tc>
        <w:tc>
          <w:tcPr>
            <w:tcW w:w="1276" w:type="dxa"/>
            <w:vMerge/>
            <w:shd w:val="clear" w:color="auto" w:fill="auto"/>
          </w:tcPr>
          <w:p w14:paraId="30483074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77ACE1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6A2ABD4" w14:textId="77777777" w:rsidTr="00877E51">
        <w:trPr>
          <w:trHeight w:val="87"/>
        </w:trPr>
        <w:tc>
          <w:tcPr>
            <w:tcW w:w="540" w:type="dxa"/>
            <w:gridSpan w:val="3"/>
            <w:vMerge/>
            <w:shd w:val="clear" w:color="auto" w:fill="auto"/>
          </w:tcPr>
          <w:p w14:paraId="2C54DAA3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8A6ABEB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4D1E0D2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4EB15D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9B0B072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2A6DBDC3" w14:textId="618ED7FB" w:rsidR="00966016" w:rsidRPr="00732B73" w:rsidRDefault="00966016" w:rsidP="004722D9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Конструкция расширения и укорочения задних мыщелков</w:t>
            </w:r>
          </w:p>
        </w:tc>
        <w:tc>
          <w:tcPr>
            <w:tcW w:w="1276" w:type="dxa"/>
            <w:vMerge/>
            <w:shd w:val="clear" w:color="auto" w:fill="auto"/>
          </w:tcPr>
          <w:p w14:paraId="0D77EEC9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10553C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008AD5A5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24F7DBDF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12A6632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29F6302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B7C78E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  <w:p w14:paraId="72370EDB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  <w:p w14:paraId="07A60B36" w14:textId="61361100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Размеры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808D509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55D6ACBC" w14:textId="77777777" w:rsidR="00966016" w:rsidRPr="00732B73" w:rsidRDefault="00966016" w:rsidP="004722D9">
            <w:pPr>
              <w:ind w:left="57" w:right="57"/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Количество типоразмеров 8 для каждой стороны (правый, левый) </w:t>
            </w:r>
          </w:p>
          <w:p w14:paraId="55E17982" w14:textId="3294743B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89ABAC" w14:textId="77777777" w:rsidR="00966016" w:rsidRPr="005D10A9" w:rsidRDefault="00966016" w:rsidP="00B63620">
            <w:pPr>
              <w:ind w:left="57" w:right="57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8BC82B" w14:textId="77777777" w:rsidR="00966016" w:rsidRPr="005D10A9" w:rsidRDefault="00966016" w:rsidP="00B63620">
            <w:pPr>
              <w:rPr>
                <w:kern w:val="1"/>
                <w:sz w:val="20"/>
                <w:szCs w:val="20"/>
              </w:rPr>
            </w:pPr>
          </w:p>
        </w:tc>
      </w:tr>
      <w:tr w:rsidR="00966016" w:rsidRPr="005D10A9" w14:paraId="5E2CBDEF" w14:textId="4632E058" w:rsidTr="00877E51">
        <w:tc>
          <w:tcPr>
            <w:tcW w:w="540" w:type="dxa"/>
            <w:gridSpan w:val="3"/>
            <w:vMerge w:val="restart"/>
            <w:shd w:val="clear" w:color="auto" w:fill="auto"/>
          </w:tcPr>
          <w:p w14:paraId="1DB61581" w14:textId="7D5BF2DE" w:rsidR="00966016" w:rsidRPr="00732B73" w:rsidRDefault="00966016" w:rsidP="00B63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6B116FBF" w14:textId="77777777" w:rsidR="00966016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Компонент эндопротеза коленного сустава тибиальный непокрытый, металлический </w:t>
            </w:r>
          </w:p>
          <w:p w14:paraId="671DA0FF" w14:textId="77777777" w:rsidR="00711017" w:rsidRDefault="00711017" w:rsidP="00711017">
            <w:pPr>
              <w:rPr>
                <w:sz w:val="20"/>
                <w:szCs w:val="20"/>
              </w:rPr>
            </w:pPr>
          </w:p>
          <w:p w14:paraId="23DCFAD9" w14:textId="75F3004E" w:rsidR="00711017" w:rsidRPr="00711017" w:rsidRDefault="00711017" w:rsidP="00711017">
            <w:pPr>
              <w:rPr>
                <w:sz w:val="20"/>
                <w:szCs w:val="20"/>
                <w:lang w:val="en-US"/>
              </w:rPr>
            </w:pPr>
            <w:r w:rsidRPr="00711017">
              <w:rPr>
                <w:sz w:val="20"/>
                <w:szCs w:val="20"/>
                <w:lang w:val="en-US"/>
              </w:rPr>
              <w:t>XN-PS</w:t>
            </w:r>
            <w:r>
              <w:rPr>
                <w:sz w:val="20"/>
                <w:szCs w:val="20"/>
                <w:lang w:val="en-US"/>
              </w:rPr>
              <w:t xml:space="preserve">&amp;CR Tibial </w:t>
            </w:r>
            <w:proofErr w:type="gramStart"/>
            <w:r>
              <w:rPr>
                <w:sz w:val="20"/>
                <w:szCs w:val="20"/>
                <w:lang w:val="en-US"/>
              </w:rPr>
              <w:t>tray</w:t>
            </w:r>
            <w:r w:rsidRPr="00711017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11017">
              <w:rPr>
                <w:sz w:val="20"/>
                <w:szCs w:val="20"/>
                <w:lang w:val="en-US"/>
              </w:rPr>
              <w:t>cemented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14:paraId="6F901C96" w14:textId="77777777" w:rsidR="00966016" w:rsidRPr="00711017" w:rsidRDefault="00966016" w:rsidP="00B63620">
            <w:pPr>
              <w:ind w:left="57" w:right="57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06A5AAD2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96E560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3EA585C" w14:textId="48592BEF" w:rsidR="00966016" w:rsidRPr="00FA2E0D" w:rsidRDefault="00966016" w:rsidP="00FA2E0D">
            <w:pPr>
              <w:ind w:left="57" w:right="57"/>
              <w:jc w:val="center"/>
              <w:rPr>
                <w:sz w:val="20"/>
                <w:szCs w:val="20"/>
              </w:rPr>
            </w:pPr>
            <w:r w:rsidRPr="00FA2E0D">
              <w:rPr>
                <w:sz w:val="20"/>
                <w:szCs w:val="20"/>
                <w:shd w:val="clear" w:color="auto" w:fill="FFFFFF"/>
              </w:rPr>
              <w:t xml:space="preserve">Стерильное имплантируемое изделие, предназначенное для замещения мыщелков большеберцовой кости (тибиальный компонент) при проведении первичной 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двумыщелковой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 xml:space="preserve"> замены коленного сустава, резекции бедренной кости или при замене неработающего эндопротеза коленного сустава (ревизии). Изделие изготавливается из металла </w:t>
            </w:r>
            <w:proofErr w:type="gramStart"/>
            <w:r w:rsidRPr="00FA2E0D">
              <w:rPr>
                <w:sz w:val="20"/>
                <w:szCs w:val="20"/>
                <w:shd w:val="clear" w:color="auto" w:fill="FFFFFF"/>
              </w:rPr>
              <w:t>[например</w:t>
            </w:r>
            <w:proofErr w:type="gramEnd"/>
            <w:r w:rsidRPr="00FA2E0D">
              <w:rPr>
                <w:sz w:val="20"/>
                <w:szCs w:val="20"/>
                <w:shd w:val="clear" w:color="auto" w:fill="FFFFFF"/>
              </w:rPr>
              <w:t>, сплавов кобальт-хром (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Co-Cr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>), кобальт-хром-молибден (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Co-Cr-Mo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>) или титана (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Ti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>)] и не покрыто материалом, обеспечивающим</w:t>
            </w:r>
            <w:r w:rsidRPr="00FA2E0D">
              <w:rPr>
                <w:sz w:val="21"/>
                <w:szCs w:val="21"/>
                <w:shd w:val="clear" w:color="auto" w:fill="FFFFFF"/>
              </w:rPr>
              <w:t xml:space="preserve"> улучшение фиксации и стабильности за счет способствования прорастанию кости. Изделие разработано для сочленения с вкладышем и/или </w:t>
            </w:r>
            <w:proofErr w:type="spellStart"/>
            <w:r w:rsidRPr="00FA2E0D">
              <w:rPr>
                <w:sz w:val="21"/>
                <w:szCs w:val="21"/>
                <w:shd w:val="clear" w:color="auto" w:fill="FFFFFF"/>
              </w:rPr>
              <w:t>феморальным</w:t>
            </w:r>
            <w:proofErr w:type="spellEnd"/>
            <w:r w:rsidRPr="00FA2E0D">
              <w:rPr>
                <w:sz w:val="21"/>
                <w:szCs w:val="21"/>
                <w:shd w:val="clear" w:color="auto" w:fill="FFFFFF"/>
              </w:rPr>
              <w:t xml:space="preserve"> компонентом эндопротеза коленного сустава, имплантация должна проводиться с использованием костного цемента.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580E63" w14:textId="66F74CA2" w:rsidR="00966016" w:rsidRPr="00336D77" w:rsidRDefault="00A55079" w:rsidP="00336D77">
            <w:pPr>
              <w:jc w:val="center"/>
              <w:rPr>
                <w:kern w:val="1"/>
                <w:sz w:val="20"/>
                <w:szCs w:val="20"/>
                <w:lang w:val="en-US"/>
              </w:rPr>
            </w:pPr>
            <w:r>
              <w:rPr>
                <w:kern w:val="1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8D56A56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18696FC1" w14:textId="1E5D1AF8" w:rsidTr="00877E51">
        <w:trPr>
          <w:trHeight w:val="47"/>
        </w:trPr>
        <w:tc>
          <w:tcPr>
            <w:tcW w:w="540" w:type="dxa"/>
            <w:gridSpan w:val="3"/>
            <w:vMerge/>
            <w:shd w:val="clear" w:color="auto" w:fill="auto"/>
          </w:tcPr>
          <w:p w14:paraId="028F4071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0EC183B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C6A7EA0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7C88AF3E" w14:textId="2C999E7C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Анатомическая форма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B7C5AD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F2743E7" w14:textId="493BBCE3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Универсальная</w:t>
            </w:r>
          </w:p>
        </w:tc>
        <w:tc>
          <w:tcPr>
            <w:tcW w:w="1276" w:type="dxa"/>
            <w:vMerge/>
            <w:shd w:val="clear" w:color="auto" w:fill="auto"/>
          </w:tcPr>
          <w:p w14:paraId="2DD67C40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4E058A2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493F3E08" w14:textId="5DB53610" w:rsidTr="00877E51">
        <w:tc>
          <w:tcPr>
            <w:tcW w:w="540" w:type="dxa"/>
            <w:gridSpan w:val="3"/>
            <w:vMerge/>
            <w:shd w:val="clear" w:color="auto" w:fill="auto"/>
          </w:tcPr>
          <w:p w14:paraId="37762ACC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80732F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73A9109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CDACA4E" w14:textId="71E0536A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Материал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8FE97B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BFCD0AE" w14:textId="0FE682B7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Кобальт-хромовый сплав</w:t>
            </w:r>
          </w:p>
        </w:tc>
        <w:tc>
          <w:tcPr>
            <w:tcW w:w="1276" w:type="dxa"/>
            <w:vMerge/>
            <w:shd w:val="clear" w:color="auto" w:fill="auto"/>
          </w:tcPr>
          <w:p w14:paraId="135BF128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BE7DD5B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282D0762" w14:textId="5923A1DB" w:rsidTr="00877E51">
        <w:tc>
          <w:tcPr>
            <w:tcW w:w="540" w:type="dxa"/>
            <w:gridSpan w:val="3"/>
            <w:vMerge/>
            <w:shd w:val="clear" w:color="auto" w:fill="auto"/>
          </w:tcPr>
          <w:p w14:paraId="1F06DB3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3B7EF6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0267C92A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29D1112" w14:textId="3059BD86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Медиолатеральный размер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A4BDF4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5117FF06" w14:textId="7629CD97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56 и ≤ 84</w:t>
            </w:r>
          </w:p>
        </w:tc>
        <w:tc>
          <w:tcPr>
            <w:tcW w:w="1276" w:type="dxa"/>
            <w:vMerge/>
            <w:shd w:val="clear" w:color="auto" w:fill="auto"/>
          </w:tcPr>
          <w:p w14:paraId="08DD2DA7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705386F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01DBBF16" w14:textId="2E52C70D" w:rsidTr="00877E51">
        <w:tc>
          <w:tcPr>
            <w:tcW w:w="540" w:type="dxa"/>
            <w:gridSpan w:val="3"/>
            <w:vMerge/>
            <w:shd w:val="clear" w:color="auto" w:fill="auto"/>
          </w:tcPr>
          <w:p w14:paraId="3D511816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2A3D24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1C64376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E16C7A7" w14:textId="2C4A6931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Переднезадний размер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F63DF0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3B30C16" w14:textId="292B8F33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&gt; 37 и ≤ 56</w:t>
            </w:r>
          </w:p>
        </w:tc>
        <w:tc>
          <w:tcPr>
            <w:tcW w:w="1276" w:type="dxa"/>
            <w:vMerge/>
            <w:shd w:val="clear" w:color="auto" w:fill="auto"/>
          </w:tcPr>
          <w:p w14:paraId="2E9E16C1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8AB1790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2C0B68DC" w14:textId="16B3C0FD" w:rsidTr="00877E51">
        <w:tc>
          <w:tcPr>
            <w:tcW w:w="540" w:type="dxa"/>
            <w:gridSpan w:val="3"/>
            <w:vMerge/>
            <w:shd w:val="clear" w:color="auto" w:fill="auto"/>
          </w:tcPr>
          <w:p w14:paraId="757F6F16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E13235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3F3F5822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7C24EBB0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Тип крепления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F72A8E3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5CC5E04F" w14:textId="77777777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Ножка</w:t>
            </w:r>
          </w:p>
        </w:tc>
        <w:tc>
          <w:tcPr>
            <w:tcW w:w="1276" w:type="dxa"/>
            <w:vMerge/>
            <w:shd w:val="clear" w:color="auto" w:fill="auto"/>
          </w:tcPr>
          <w:p w14:paraId="34689AE7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8FF5CF1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7DD85F15" w14:textId="479D316A" w:rsidTr="00877E51">
        <w:tc>
          <w:tcPr>
            <w:tcW w:w="540" w:type="dxa"/>
            <w:gridSpan w:val="3"/>
            <w:vMerge/>
            <w:shd w:val="clear" w:color="auto" w:fill="auto"/>
          </w:tcPr>
          <w:p w14:paraId="14538CF8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CDA5280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5E9BE093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D034CC8" w14:textId="7C8013F2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Количество типоразмеров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A56548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E2B3FB7" w14:textId="7797D6E5" w:rsidR="00966016" w:rsidRPr="00732B73" w:rsidRDefault="00966016" w:rsidP="003252D9">
            <w:pPr>
              <w:ind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vMerge/>
            <w:shd w:val="clear" w:color="auto" w:fill="auto"/>
          </w:tcPr>
          <w:p w14:paraId="40F122FF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47D7B42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1A5BDB83" w14:textId="0CEE8552" w:rsidTr="00877E51">
        <w:trPr>
          <w:trHeight w:val="576"/>
        </w:trPr>
        <w:tc>
          <w:tcPr>
            <w:tcW w:w="540" w:type="dxa"/>
            <w:gridSpan w:val="3"/>
            <w:vMerge/>
            <w:shd w:val="clear" w:color="auto" w:fill="auto"/>
          </w:tcPr>
          <w:p w14:paraId="70C4AFA6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63DAC0FA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5A2A25D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/>
          </w:tcPr>
          <w:p w14:paraId="5216759F" w14:textId="69AEBA31" w:rsidR="00966016" w:rsidRPr="00732B73" w:rsidRDefault="00966016" w:rsidP="00AB6F0F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Особенности конструкции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42AB4049" w14:textId="49AC3BC8" w:rsidR="00966016" w:rsidRPr="00732B73" w:rsidRDefault="00966016" w:rsidP="003252D9">
            <w:pPr>
              <w:ind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Короткая ножка</w:t>
            </w:r>
          </w:p>
        </w:tc>
        <w:tc>
          <w:tcPr>
            <w:tcW w:w="1276" w:type="dxa"/>
            <w:vMerge/>
            <w:shd w:val="clear" w:color="auto" w:fill="auto"/>
          </w:tcPr>
          <w:p w14:paraId="0B356477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57D5575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3F1B5556" w14:textId="24444BF6" w:rsidTr="00877E51">
        <w:trPr>
          <w:trHeight w:val="576"/>
        </w:trPr>
        <w:tc>
          <w:tcPr>
            <w:tcW w:w="540" w:type="dxa"/>
            <w:gridSpan w:val="3"/>
            <w:vMerge/>
            <w:shd w:val="clear" w:color="auto" w:fill="auto"/>
          </w:tcPr>
          <w:p w14:paraId="2F2EDEF8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E695F8D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B837CDE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14:paraId="1E59FF8E" w14:textId="77777777" w:rsidR="00966016" w:rsidRPr="00732B73" w:rsidRDefault="00966016" w:rsidP="00AB6F0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DADB92F" w14:textId="6CEC06DD" w:rsidR="00966016" w:rsidRPr="00732B73" w:rsidRDefault="00966016" w:rsidP="003252D9">
            <w:pPr>
              <w:ind w:right="57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Наклон кзади 3 градуса</w:t>
            </w:r>
          </w:p>
        </w:tc>
        <w:tc>
          <w:tcPr>
            <w:tcW w:w="1276" w:type="dxa"/>
            <w:vMerge/>
            <w:shd w:val="clear" w:color="auto" w:fill="auto"/>
          </w:tcPr>
          <w:p w14:paraId="1F273B51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B22E9C4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2BCB3BBC" w14:textId="356EF665" w:rsidTr="00877E51">
        <w:tc>
          <w:tcPr>
            <w:tcW w:w="540" w:type="dxa"/>
            <w:gridSpan w:val="3"/>
            <w:vMerge/>
            <w:shd w:val="clear" w:color="auto" w:fill="auto"/>
          </w:tcPr>
          <w:p w14:paraId="5100DF7F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ECFEFE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1A32DB91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14:paraId="16DBA374" w14:textId="3F4AAC4F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031A547D" w14:textId="2124910D" w:rsidR="00966016" w:rsidRPr="00732B73" w:rsidRDefault="00966016" w:rsidP="00B63620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732B73">
              <w:rPr>
                <w:sz w:val="20"/>
                <w:szCs w:val="20"/>
              </w:rPr>
              <w:t>Килеобразная</w:t>
            </w:r>
            <w:proofErr w:type="spellEnd"/>
            <w:r w:rsidRPr="00732B73">
              <w:rPr>
                <w:sz w:val="20"/>
                <w:szCs w:val="20"/>
              </w:rPr>
              <w:t xml:space="preserve"> конструкция</w:t>
            </w:r>
          </w:p>
        </w:tc>
        <w:tc>
          <w:tcPr>
            <w:tcW w:w="1276" w:type="dxa"/>
            <w:vMerge/>
            <w:shd w:val="clear" w:color="auto" w:fill="auto"/>
          </w:tcPr>
          <w:p w14:paraId="5A1326FA" w14:textId="77777777" w:rsidR="00966016" w:rsidRPr="005D10A9" w:rsidRDefault="00966016" w:rsidP="00B63620">
            <w:pPr>
              <w:rPr>
                <w:color w:val="FF0000"/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CEF53A2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1C847BF4" w14:textId="046870FB" w:rsidTr="00877E51">
        <w:trPr>
          <w:trHeight w:val="769"/>
        </w:trPr>
        <w:tc>
          <w:tcPr>
            <w:tcW w:w="540" w:type="dxa"/>
            <w:gridSpan w:val="3"/>
            <w:vMerge/>
            <w:shd w:val="clear" w:color="auto" w:fill="auto"/>
          </w:tcPr>
          <w:p w14:paraId="2EBF58E4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20D6B94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7E4C0D8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14:paraId="20D292AE" w14:textId="2EC12EF0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951EE6F" w14:textId="0B633552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Плато полированное</w:t>
            </w:r>
          </w:p>
        </w:tc>
        <w:tc>
          <w:tcPr>
            <w:tcW w:w="1276" w:type="dxa"/>
            <w:vMerge/>
            <w:shd w:val="clear" w:color="auto" w:fill="auto"/>
          </w:tcPr>
          <w:p w14:paraId="0E382F8A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5C2FBDD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754722FD" w14:textId="14452D59" w:rsidTr="00877E51">
        <w:trPr>
          <w:trHeight w:val="385"/>
        </w:trPr>
        <w:tc>
          <w:tcPr>
            <w:tcW w:w="540" w:type="dxa"/>
            <w:gridSpan w:val="3"/>
            <w:vMerge/>
            <w:shd w:val="clear" w:color="auto" w:fill="auto"/>
          </w:tcPr>
          <w:p w14:paraId="219409AC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FA81685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E74B838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14:paraId="167EBA9F" w14:textId="443277AB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6CA14AB" w14:textId="53D48DBB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Универсальный механизм защелкивания вкладыша</w:t>
            </w:r>
          </w:p>
        </w:tc>
        <w:tc>
          <w:tcPr>
            <w:tcW w:w="1276" w:type="dxa"/>
            <w:vMerge/>
            <w:shd w:val="clear" w:color="auto" w:fill="auto"/>
          </w:tcPr>
          <w:p w14:paraId="0BEF456D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CE95D90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51171F68" w14:textId="5FB739EC" w:rsidTr="00877E51">
        <w:trPr>
          <w:trHeight w:val="385"/>
        </w:trPr>
        <w:tc>
          <w:tcPr>
            <w:tcW w:w="540" w:type="dxa"/>
            <w:gridSpan w:val="3"/>
            <w:vMerge/>
            <w:shd w:val="clear" w:color="auto" w:fill="auto"/>
          </w:tcPr>
          <w:p w14:paraId="34946EB5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55A032B" w14:textId="77777777" w:rsidR="00966016" w:rsidRPr="00732B73" w:rsidRDefault="00966016" w:rsidP="00B636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9386EE5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14:paraId="05034513" w14:textId="77777777" w:rsidR="00966016" w:rsidRPr="00732B73" w:rsidRDefault="00966016" w:rsidP="00B63620">
            <w:pPr>
              <w:ind w:left="57" w:right="57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97DA35F" w14:textId="7127E14B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В центре расположено слепое резьбовое отверстие</w:t>
            </w:r>
          </w:p>
        </w:tc>
        <w:tc>
          <w:tcPr>
            <w:tcW w:w="1276" w:type="dxa"/>
            <w:vMerge/>
            <w:shd w:val="clear" w:color="auto" w:fill="auto"/>
          </w:tcPr>
          <w:p w14:paraId="536126B7" w14:textId="77777777" w:rsidR="00966016" w:rsidRPr="005D10A9" w:rsidRDefault="00966016" w:rsidP="00B63620">
            <w:pPr>
              <w:rPr>
                <w:kern w:val="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336000F" w14:textId="77777777" w:rsidR="00966016" w:rsidRPr="005D10A9" w:rsidRDefault="00966016">
            <w:pPr>
              <w:spacing w:after="160" w:line="259" w:lineRule="auto"/>
            </w:pPr>
          </w:p>
        </w:tc>
      </w:tr>
      <w:tr w:rsidR="00966016" w:rsidRPr="005D10A9" w14:paraId="00BFAFCE" w14:textId="77777777" w:rsidTr="00877E51">
        <w:tc>
          <w:tcPr>
            <w:tcW w:w="540" w:type="dxa"/>
            <w:gridSpan w:val="3"/>
            <w:vMerge w:val="restart"/>
            <w:shd w:val="clear" w:color="auto" w:fill="auto"/>
          </w:tcPr>
          <w:p w14:paraId="45162D2F" w14:textId="4B8133DF" w:rsidR="00966016" w:rsidRPr="00732B73" w:rsidRDefault="00966016" w:rsidP="00B63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1714BDF9" w14:textId="77777777" w:rsidR="00966016" w:rsidRPr="00732B73" w:rsidRDefault="00966016" w:rsidP="00B63620">
            <w:pPr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Вкладыш тибиальный </w:t>
            </w:r>
          </w:p>
          <w:p w14:paraId="5E1476AA" w14:textId="120AB182" w:rsidR="00966016" w:rsidRPr="00877E51" w:rsidRDefault="00711017" w:rsidP="00C37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XN</w:t>
            </w:r>
            <w:r w:rsidRPr="007110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CR</w:t>
            </w:r>
            <w:r w:rsidRPr="0071101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Tibial</w:t>
            </w:r>
            <w:r>
              <w:rPr>
                <w:sz w:val="20"/>
                <w:szCs w:val="20"/>
              </w:rPr>
              <w:t xml:space="preserve">, </w:t>
            </w:r>
            <w:r w:rsidRPr="00877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insert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14:paraId="52192DDA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B00D2B9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9A0C478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079E1174" w14:textId="77777777" w:rsidR="00966016" w:rsidRPr="00FA2E0D" w:rsidRDefault="00966016" w:rsidP="00B63620">
            <w:pPr>
              <w:jc w:val="center"/>
              <w:rPr>
                <w:sz w:val="20"/>
                <w:szCs w:val="20"/>
              </w:rPr>
            </w:pPr>
            <w:r w:rsidRPr="00FA2E0D">
              <w:rPr>
                <w:sz w:val="20"/>
                <w:szCs w:val="20"/>
                <w:shd w:val="clear" w:color="auto" w:fill="FFFFFF"/>
              </w:rPr>
              <w:t xml:space="preserve">Имплантируемое изделие, предназначенное для сочленения 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феморального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тибиального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 xml:space="preserve"> компонентов эндопротеза коленного сустава при первичной или ревизионной 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двумыщелковой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 xml:space="preserve"> замене коленного сустава. Оно обычно представляет собой цельный полиэтиленовый (ПЭ) вкладыш определенной формы или более сложное изделие (например, направляющий рычаг с ножкой, которая вставляется в большеберцовый желоб, и полимерная накладка), которое лучше воспроизводит подвижность коленного сустава благодаря возможности бокового вращения и движения вперед/назад. Как правило, изделие изготавливается из металла и/или полимера.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A202A54" w14:textId="189E5B1B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  <w:r w:rsidRPr="005D10A9">
              <w:rPr>
                <w:color w:val="000000"/>
                <w:kern w:val="1"/>
                <w:sz w:val="20"/>
                <w:szCs w:val="20"/>
              </w:rPr>
              <w:t xml:space="preserve">Штук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04A877" w14:textId="3BDDB856" w:rsidR="00966016" w:rsidRPr="00336D77" w:rsidRDefault="00966016" w:rsidP="00336D77">
            <w:pPr>
              <w:jc w:val="center"/>
              <w:rPr>
                <w:color w:val="000000"/>
                <w:kern w:val="1"/>
                <w:sz w:val="20"/>
                <w:szCs w:val="20"/>
                <w:lang w:val="en-US"/>
              </w:rPr>
            </w:pPr>
            <w:r>
              <w:rPr>
                <w:color w:val="000000"/>
                <w:kern w:val="1"/>
                <w:sz w:val="20"/>
                <w:szCs w:val="20"/>
                <w:lang w:val="en-US"/>
              </w:rPr>
              <w:t>8</w:t>
            </w:r>
          </w:p>
        </w:tc>
      </w:tr>
      <w:tr w:rsidR="00966016" w:rsidRPr="005D10A9" w14:paraId="41374C0F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54C82BC1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1CDD86C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98733CF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52DB9804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Материал изготовления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D63A932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14C3CA6" w14:textId="77777777" w:rsidR="00966016" w:rsidRPr="00732B73" w:rsidRDefault="00966016" w:rsidP="00B636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732B73">
              <w:rPr>
                <w:sz w:val="20"/>
                <w:szCs w:val="20"/>
              </w:rPr>
              <w:t>Сверхвысокомолекулярный</w:t>
            </w:r>
            <w:proofErr w:type="spellEnd"/>
            <w:r w:rsidRPr="00732B73">
              <w:rPr>
                <w:sz w:val="20"/>
                <w:szCs w:val="20"/>
              </w:rPr>
              <w:t xml:space="preserve"> полиэтилен (</w:t>
            </w:r>
            <w:r w:rsidRPr="00732B73">
              <w:rPr>
                <w:sz w:val="20"/>
                <w:szCs w:val="20"/>
                <w:lang w:val="en-US"/>
              </w:rPr>
              <w:t>UHWVPE</w:t>
            </w:r>
            <w:r w:rsidRPr="00732B73">
              <w:rPr>
                <w:sz w:val="20"/>
                <w:szCs w:val="20"/>
              </w:rPr>
              <w:t>)</w:t>
            </w:r>
          </w:p>
          <w:p w14:paraId="2CBBEDFA" w14:textId="3EBD4356" w:rsidR="00966016" w:rsidRPr="00732B73" w:rsidRDefault="00966016" w:rsidP="00B636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732B73">
              <w:rPr>
                <w:sz w:val="20"/>
                <w:szCs w:val="20"/>
              </w:rPr>
              <w:t>Сверхвысокомолекулярный</w:t>
            </w:r>
            <w:proofErr w:type="spellEnd"/>
            <w:r w:rsidRPr="00732B73">
              <w:rPr>
                <w:sz w:val="20"/>
                <w:szCs w:val="20"/>
              </w:rPr>
              <w:t xml:space="preserve"> полиэтилен поперечно-связанный (</w:t>
            </w:r>
            <w:r w:rsidRPr="00732B73">
              <w:rPr>
                <w:sz w:val="20"/>
                <w:szCs w:val="20"/>
                <w:lang w:val="en-US"/>
              </w:rPr>
              <w:t>XLPE</w:t>
            </w:r>
            <w:r w:rsidRPr="00732B73">
              <w:rPr>
                <w:sz w:val="20"/>
                <w:szCs w:val="20"/>
              </w:rPr>
              <w:t>)</w:t>
            </w:r>
          </w:p>
          <w:p w14:paraId="035EB18B" w14:textId="729EB186" w:rsidR="00966016" w:rsidRPr="00732B73" w:rsidRDefault="00966016" w:rsidP="00B6362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6A6664" w14:textId="39A8B7C2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E6C599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</w:tr>
      <w:tr w:rsidR="00966016" w:rsidRPr="005D10A9" w14:paraId="172B8ED9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016DAE4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A2AA44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0EC2E73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FBECDA4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Форма поверхности</w:t>
            </w:r>
          </w:p>
        </w:tc>
        <w:tc>
          <w:tcPr>
            <w:tcW w:w="1560" w:type="dxa"/>
            <w:shd w:val="clear" w:color="auto" w:fill="FFFFFF"/>
          </w:tcPr>
          <w:p w14:paraId="15E3DA95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14:paraId="61453CFA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Сферическая дуга</w:t>
            </w:r>
          </w:p>
        </w:tc>
        <w:tc>
          <w:tcPr>
            <w:tcW w:w="1276" w:type="dxa"/>
            <w:vMerge/>
            <w:shd w:val="clear" w:color="auto" w:fill="auto"/>
          </w:tcPr>
          <w:p w14:paraId="34BBD3A7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B38CC1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</w:tr>
      <w:tr w:rsidR="00966016" w:rsidRPr="005D10A9" w14:paraId="2A728FFA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7D13E04A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3A621D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76BEBA0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23B2268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Особенность конструкции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A3BBFC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16F81F9" w14:textId="77777777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В центре вкладыша находится смещенный относительно нормального положения стабилизационный выступ</w:t>
            </w:r>
          </w:p>
        </w:tc>
        <w:tc>
          <w:tcPr>
            <w:tcW w:w="1276" w:type="dxa"/>
            <w:vMerge/>
            <w:shd w:val="clear" w:color="auto" w:fill="auto"/>
          </w:tcPr>
          <w:p w14:paraId="2DB05ECE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31C57F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</w:tr>
      <w:tr w:rsidR="00966016" w:rsidRPr="005D10A9" w14:paraId="6A250D44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080A2072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CA808F5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56C569A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4843233E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Особенность конструкции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2ABDE6F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26812B28" w14:textId="739F4FBA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 Скошенный передний край</w:t>
            </w:r>
          </w:p>
        </w:tc>
        <w:tc>
          <w:tcPr>
            <w:tcW w:w="1276" w:type="dxa"/>
            <w:vMerge/>
            <w:shd w:val="clear" w:color="auto" w:fill="auto"/>
          </w:tcPr>
          <w:p w14:paraId="67C904BA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C74EC1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</w:tr>
      <w:tr w:rsidR="00966016" w:rsidRPr="005D10A9" w14:paraId="64FCFD3E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2A7ACAA9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5A6BFF9F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C3A6893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7CACC3B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Тип фиксации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09E4F3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8A11F3D" w14:textId="77777777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Методом защелкивания на большеберцовом компоненте, с наличием возможности фиксации с помощью винта</w:t>
            </w:r>
          </w:p>
        </w:tc>
        <w:tc>
          <w:tcPr>
            <w:tcW w:w="1276" w:type="dxa"/>
            <w:vMerge/>
            <w:shd w:val="clear" w:color="auto" w:fill="auto"/>
          </w:tcPr>
          <w:p w14:paraId="1BA1EE0B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35E773" w14:textId="77777777" w:rsidR="00966016" w:rsidRPr="005D10A9" w:rsidRDefault="00966016" w:rsidP="00B63620">
            <w:pPr>
              <w:rPr>
                <w:color w:val="000000"/>
                <w:kern w:val="1"/>
                <w:sz w:val="20"/>
                <w:szCs w:val="20"/>
              </w:rPr>
            </w:pPr>
          </w:p>
        </w:tc>
      </w:tr>
      <w:tr w:rsidR="00966016" w:rsidRPr="005D10A9" w14:paraId="1DFA18C8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588C24E4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4D69959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669B8615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7773CC7C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Количество типоразмеров по ширине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78B0BA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  <w:r w:rsidRPr="00732B73">
              <w:rPr>
                <w:bCs/>
                <w:color w:val="000000"/>
                <w:kern w:val="1"/>
                <w:sz w:val="20"/>
                <w:szCs w:val="20"/>
              </w:rPr>
              <w:t xml:space="preserve">Штук 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212096D4" w14:textId="1A1E5970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Не менее 4</w:t>
            </w:r>
          </w:p>
        </w:tc>
        <w:tc>
          <w:tcPr>
            <w:tcW w:w="1276" w:type="dxa"/>
            <w:vMerge/>
            <w:shd w:val="clear" w:color="auto" w:fill="auto"/>
          </w:tcPr>
          <w:p w14:paraId="13AC806F" w14:textId="77777777" w:rsidR="00966016" w:rsidRPr="005D10A9" w:rsidRDefault="00966016" w:rsidP="00B63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C7E070" w14:textId="77777777" w:rsidR="00966016" w:rsidRPr="005D10A9" w:rsidRDefault="00966016" w:rsidP="00B63620">
            <w:pPr>
              <w:rPr>
                <w:color w:val="000000"/>
                <w:sz w:val="20"/>
                <w:szCs w:val="20"/>
              </w:rPr>
            </w:pPr>
          </w:p>
        </w:tc>
      </w:tr>
      <w:tr w:rsidR="00966016" w:rsidRPr="005D10A9" w14:paraId="0B905D3F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1E95804F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7AD6CC75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D6E8C82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5110F33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Типоразмеры по толщине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A80E54D" w14:textId="77777777" w:rsidR="00966016" w:rsidRPr="00732B73" w:rsidRDefault="00966016" w:rsidP="00B63620">
            <w:pPr>
              <w:rPr>
                <w:bCs/>
                <w:color w:val="000000"/>
                <w:kern w:val="1"/>
                <w:sz w:val="20"/>
                <w:szCs w:val="20"/>
              </w:rPr>
            </w:pPr>
            <w:r w:rsidRPr="00732B73">
              <w:rPr>
                <w:bCs/>
                <w:color w:val="000000"/>
                <w:kern w:val="1"/>
                <w:sz w:val="20"/>
                <w:szCs w:val="20"/>
              </w:rPr>
              <w:t xml:space="preserve">Миллиметров 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DE9A9A4" w14:textId="1CCFF289" w:rsidR="00966016" w:rsidRPr="00732B73" w:rsidRDefault="00966016" w:rsidP="00B6362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Не менее 5 в диапазоне от 10 до 18 с шагом 2 мм</w:t>
            </w:r>
          </w:p>
        </w:tc>
        <w:tc>
          <w:tcPr>
            <w:tcW w:w="1276" w:type="dxa"/>
            <w:vMerge/>
            <w:shd w:val="clear" w:color="auto" w:fill="auto"/>
          </w:tcPr>
          <w:p w14:paraId="6CBEF1CA" w14:textId="77777777" w:rsidR="00966016" w:rsidRPr="005D10A9" w:rsidRDefault="00966016" w:rsidP="00B63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4EBC07" w14:textId="77777777" w:rsidR="00966016" w:rsidRPr="005D10A9" w:rsidRDefault="00966016" w:rsidP="00B63620">
            <w:pPr>
              <w:rPr>
                <w:color w:val="000000"/>
                <w:sz w:val="20"/>
                <w:szCs w:val="20"/>
              </w:rPr>
            </w:pPr>
          </w:p>
        </w:tc>
      </w:tr>
      <w:tr w:rsidR="00966016" w:rsidRPr="005D10A9" w14:paraId="16542BF2" w14:textId="77777777" w:rsidTr="00877E51">
        <w:tc>
          <w:tcPr>
            <w:tcW w:w="540" w:type="dxa"/>
            <w:gridSpan w:val="3"/>
            <w:vMerge/>
            <w:shd w:val="clear" w:color="auto" w:fill="auto"/>
          </w:tcPr>
          <w:p w14:paraId="3C55E160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2EA6564" w14:textId="77777777" w:rsidR="00966016" w:rsidRPr="00732B73" w:rsidRDefault="00966016" w:rsidP="00B6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54065FA" w14:textId="77777777" w:rsidR="00966016" w:rsidRPr="00732B73" w:rsidRDefault="00966016" w:rsidP="00B6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294E795" w14:textId="77777777" w:rsidR="00966016" w:rsidRPr="00732B73" w:rsidRDefault="00966016" w:rsidP="00B63620">
            <w:pPr>
              <w:jc w:val="both"/>
              <w:rPr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5852F13" w14:textId="77777777" w:rsidR="00966016" w:rsidRPr="00732B73" w:rsidRDefault="00966016" w:rsidP="00B63620">
            <w:pPr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16BAD9D" w14:textId="77777777" w:rsidR="00966016" w:rsidRPr="00732B73" w:rsidRDefault="00966016" w:rsidP="00B63620">
            <w:pPr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732B73">
              <w:rPr>
                <w:sz w:val="20"/>
                <w:szCs w:val="20"/>
              </w:rPr>
              <w:t>стерильная индивидуальная упаковка</w:t>
            </w:r>
          </w:p>
        </w:tc>
        <w:tc>
          <w:tcPr>
            <w:tcW w:w="1276" w:type="dxa"/>
            <w:vMerge/>
            <w:shd w:val="clear" w:color="auto" w:fill="auto"/>
          </w:tcPr>
          <w:p w14:paraId="6EA0E442" w14:textId="77777777" w:rsidR="00966016" w:rsidRPr="005D10A9" w:rsidRDefault="00966016" w:rsidP="00B63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61A719" w14:textId="77777777" w:rsidR="00966016" w:rsidRPr="005D10A9" w:rsidRDefault="00966016" w:rsidP="00B63620">
            <w:pPr>
              <w:rPr>
                <w:color w:val="000000"/>
                <w:sz w:val="20"/>
                <w:szCs w:val="20"/>
              </w:rPr>
            </w:pPr>
          </w:p>
        </w:tc>
      </w:tr>
      <w:tr w:rsidR="00966016" w:rsidRPr="00E57411" w14:paraId="25A03B9F" w14:textId="77777777" w:rsidTr="00877E51">
        <w:tblPrEx>
          <w:tblLook w:val="04A0" w:firstRow="1" w:lastRow="0" w:firstColumn="1" w:lastColumn="0" w:noHBand="0" w:noVBand="1"/>
        </w:tblPrEx>
        <w:trPr>
          <w:trHeight w:val="2286"/>
        </w:trPr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6DF40" w14:textId="36AFCA5A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5FF7A" w14:textId="3F48752F" w:rsidR="00966016" w:rsidRDefault="00966016" w:rsidP="00FA2E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57411">
              <w:rPr>
                <w:rFonts w:ascii="Arial" w:hAnsi="Arial" w:cs="Arial"/>
                <w:sz w:val="18"/>
                <w:szCs w:val="18"/>
                <w:lang w:eastAsia="en-GB"/>
              </w:rPr>
              <w:t>Ножка эндопротеза бедренной кости с "пресс-</w:t>
            </w:r>
            <w:proofErr w:type="spellStart"/>
            <w:r w:rsidRPr="00E57411">
              <w:rPr>
                <w:rFonts w:ascii="Arial" w:hAnsi="Arial" w:cs="Arial"/>
                <w:sz w:val="18"/>
                <w:szCs w:val="18"/>
                <w:lang w:eastAsia="en-GB"/>
              </w:rPr>
              <w:t>фит</w:t>
            </w:r>
            <w:proofErr w:type="spellEnd"/>
            <w:r w:rsidRPr="00E57411">
              <w:rPr>
                <w:rFonts w:ascii="Arial" w:hAnsi="Arial" w:cs="Arial"/>
                <w:sz w:val="18"/>
                <w:szCs w:val="18"/>
                <w:lang w:eastAsia="en-GB"/>
              </w:rPr>
              <w:t xml:space="preserve">" фиксацией </w:t>
            </w:r>
          </w:p>
          <w:p w14:paraId="59C46550" w14:textId="258F962C" w:rsidR="00711017" w:rsidRPr="00711017" w:rsidRDefault="00711017" w:rsidP="00FA2E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BE Type Femoral Stem</w:t>
            </w:r>
          </w:p>
          <w:p w14:paraId="6A76DAD0" w14:textId="77777777" w:rsidR="00966016" w:rsidRPr="00E57411" w:rsidRDefault="00966016" w:rsidP="00FA2E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4230" w14:textId="77777777" w:rsidR="00966016" w:rsidRPr="00E57411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2979" w14:textId="77777777" w:rsidR="00966016" w:rsidRPr="00987A15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 xml:space="preserve">Описание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8A826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A58D" w14:textId="77777777" w:rsidR="00966016" w:rsidRPr="0080613B" w:rsidRDefault="00966016" w:rsidP="00FA2E0D">
            <w:pP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Стерильное имплантируемое изделие, предназначенное для замены шейки проксимального отдела бедренной кости в ходе тотального эндопротезирования тазобедренного сустава. Фиксация изделия осуществляется путем внедрения его дистального конца в корковый слой оставшейся части естественной бедренной кости. При этом достигается механическое сцепление без применения костного цемента. Изделие изготавливается из металла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[например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кобальт-хромового сплава (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Co-Cr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титана (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нержавеющей стали].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7F282" w14:textId="77777777" w:rsidR="00966016" w:rsidRPr="00E57411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57411">
              <w:rPr>
                <w:rFonts w:ascii="Arial" w:hAnsi="Arial" w:cs="Arial"/>
                <w:kern w:val="1"/>
                <w:sz w:val="18"/>
                <w:szCs w:val="18"/>
              </w:rPr>
              <w:t xml:space="preserve">Штук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F2F8F" w14:textId="08D05B19" w:rsidR="00966016" w:rsidRPr="00336D77" w:rsidRDefault="00966016" w:rsidP="00336D77">
            <w:pPr>
              <w:spacing w:line="256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1</w:t>
            </w:r>
          </w:p>
        </w:tc>
      </w:tr>
      <w:tr w:rsidR="00966016" w:rsidRPr="00E57411" w14:paraId="05202CA4" w14:textId="77777777" w:rsidTr="00877E5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BFEDC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87D32" w14:textId="77777777" w:rsidR="00966016" w:rsidRPr="00E57411" w:rsidRDefault="00966016" w:rsidP="00FA2E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7BA1C" w14:textId="77777777" w:rsidR="00966016" w:rsidRPr="00E57411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A0EF" w14:textId="77777777" w:rsidR="00966016" w:rsidRPr="00987A15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Воротник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9C5B8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2F5F7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45389" w14:textId="77777777" w:rsidR="00966016" w:rsidRPr="00E57411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5A323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1D859D9A" w14:textId="77777777" w:rsidTr="00877E5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4886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5BAE2" w14:textId="77777777" w:rsidR="00966016" w:rsidRPr="00E57411" w:rsidRDefault="00966016" w:rsidP="00FA2E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F59AD" w14:textId="77777777" w:rsidR="00966016" w:rsidRPr="00E57411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1911" w14:textId="77777777" w:rsidR="00966016" w:rsidRPr="00987A15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Длинна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6522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миллиметр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ABFE4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120</w:t>
            </w:r>
          </w:p>
          <w:p w14:paraId="6BC04EF0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130</w:t>
            </w:r>
          </w:p>
          <w:p w14:paraId="4BA14778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140</w:t>
            </w:r>
          </w:p>
          <w:p w14:paraId="053FB138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150</w:t>
            </w:r>
          </w:p>
          <w:p w14:paraId="777E7706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160</w:t>
            </w:r>
          </w:p>
          <w:p w14:paraId="49A91E89" w14:textId="77777777" w:rsidR="00966016" w:rsidRPr="0080613B" w:rsidRDefault="00966016" w:rsidP="00FA2E0D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160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170</w:t>
            </w:r>
          </w:p>
          <w:p w14:paraId="78054342" w14:textId="77777777" w:rsidR="00966016" w:rsidRPr="0080613B" w:rsidRDefault="00966016" w:rsidP="00FA2E0D">
            <w:pPr>
              <w:ind w:righ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7F4B2" w14:textId="77777777" w:rsidR="00966016" w:rsidRPr="00E57411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355F6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7689D6AA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BF19E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82B3D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F7788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9B56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Конус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шейки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00B2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66F6" w14:textId="77777777" w:rsidR="00966016" w:rsidRPr="00987A15" w:rsidRDefault="00966016" w:rsidP="00FA2E0D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12/14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A4132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3BEC2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09DF8298" w14:textId="77777777" w:rsidTr="00877E51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D2ED2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843C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1B48F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8A5B8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Форма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A6087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0F55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Клиновидная. </w:t>
            </w:r>
          </w:p>
          <w:p w14:paraId="4997061F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1.Представляет собой прямую самоцентрирующуюся ножку в виде тройного клина, усечённого в проксимальной части с латеральной стороны, со сглаженными гранями. </w:t>
            </w:r>
          </w:p>
          <w:p w14:paraId="41D2AFB9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Без воротничка. </w:t>
            </w:r>
          </w:p>
          <w:p w14:paraId="4AAC2B97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2.На переднюю и заднюю поверхности ножки нанесены борозды: поперечные в проксимальной части и продольные в центральной и дистальной части; поперечные борозды также и на медиальной поверхности.</w:t>
            </w:r>
          </w:p>
          <w:p w14:paraId="4A112276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3.С верхней стороны ножки расположено слепое отверстие с резьбой. </w:t>
            </w:r>
          </w:p>
          <w:p w14:paraId="0E63E435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4.Шейка ножки полированная, круглая в поперечном сечении, плоская в продольном.</w:t>
            </w:r>
          </w:p>
          <w:p w14:paraId="293688D7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5.Двойное покрытие по всей поверхности: </w:t>
            </w:r>
          </w:p>
          <w:p w14:paraId="2C2C73CD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Пористое (титановый плазма-спрей), толщиной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US" w:eastAsia="en-GB"/>
              </w:rPr>
              <w:t>Ti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 350±75 мкм.</w:t>
            </w:r>
          </w:p>
          <w:p w14:paraId="40635531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Гидроксиапатит, толщиной </w:t>
            </w:r>
            <w:r w:rsidRPr="00987A15">
              <w:rPr>
                <w:rFonts w:ascii="Arial" w:hAnsi="Arial" w:cs="Arial"/>
                <w:sz w:val="18"/>
                <w:szCs w:val="18"/>
                <w:lang w:val="en-US" w:eastAsia="en-GB"/>
              </w:rPr>
              <w:t>HA</w:t>
            </w: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- 50±10 мкм.)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80A33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C10DB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4F3C598D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1BD4F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2680F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EDA65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3175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Материал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F0409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9F64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Титан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титановый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сплав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0D31F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01A42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71B3191F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4E90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2F39F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07DB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4862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Шеечно-диафизарный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угол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99C2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⁰, град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B698" w14:textId="77777777" w:rsidR="00966016" w:rsidRPr="00987A15" w:rsidRDefault="00966016" w:rsidP="00FA2E0D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4CAD39" w14:textId="77777777" w:rsidR="00966016" w:rsidRPr="00987A15" w:rsidRDefault="00966016" w:rsidP="00FA2E0D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&gt; 130 и ≤ 135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F30AC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B1EA2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54D68D42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7A63B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800C6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8AF1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FF51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Сечение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79001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5E71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Многоугольное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480EE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2F325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11C1CF0F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0D5E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52510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A2B6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2065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Покрытие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D9B55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E125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Полное.</w:t>
            </w:r>
          </w:p>
          <w:p w14:paraId="21363D68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5BD3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59069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4517F2D3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12DCB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FBB7A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0686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EF5ED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Офсет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8E98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Миллиметр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1CAF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87A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&gt; 40 и ≤ 45</w:t>
            </w:r>
          </w:p>
          <w:p w14:paraId="0C9D39A6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&gt; 45 и ≤ 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4BF86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4290F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E57411" w14:paraId="1247A873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B6257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1407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F7A9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EBAD4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Размеры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225D6" w14:textId="77777777" w:rsidR="00966016" w:rsidRPr="00987A15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863F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87A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Количество типоразмеров не менее 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519F1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10D4A" w14:textId="77777777" w:rsidR="00966016" w:rsidRPr="00E57411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24312ABC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61213" w14:textId="10F2BE75" w:rsidR="00966016" w:rsidRPr="00E57411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5C0C5" w14:textId="1080D11B" w:rsidR="00966016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 xml:space="preserve">Компонент эндопротеза тазобедренного сустава </w:t>
            </w:r>
            <w:proofErr w:type="spellStart"/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ацетабулярный</w:t>
            </w:r>
            <w:proofErr w:type="spellEnd"/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 xml:space="preserve"> из комбинированного материала</w:t>
            </w:r>
          </w:p>
          <w:p w14:paraId="38E2B859" w14:textId="20BFBD45" w:rsidR="00711017" w:rsidRPr="00711017" w:rsidRDefault="00711017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Type acetabular cup</w:t>
            </w:r>
          </w:p>
          <w:p w14:paraId="5D110075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7FDD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528B0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B4E3" w14:textId="77777777" w:rsidR="00966016" w:rsidRPr="00987A15" w:rsidRDefault="00966016" w:rsidP="00FA2E0D">
            <w:pPr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5736" w14:textId="77777777" w:rsidR="00966016" w:rsidRPr="00FA2E0D" w:rsidRDefault="00966016" w:rsidP="00FA2E0D">
            <w:pPr>
              <w:ind w:left="57"/>
              <w:jc w:val="center"/>
              <w:rPr>
                <w:kern w:val="1"/>
                <w:sz w:val="20"/>
                <w:szCs w:val="20"/>
              </w:rPr>
            </w:pPr>
            <w:r w:rsidRPr="00FA2E0D">
              <w:rPr>
                <w:sz w:val="20"/>
                <w:szCs w:val="20"/>
                <w:shd w:val="clear" w:color="auto" w:fill="FFFFFF"/>
              </w:rPr>
              <w:t>"Стерильный имплантируемый основной компонент тотального эндопротеза тазобедренного сустава (</w:t>
            </w:r>
            <w:proofErr w:type="spellStart"/>
            <w:r w:rsidRPr="00FA2E0D">
              <w:rPr>
                <w:sz w:val="20"/>
                <w:szCs w:val="20"/>
                <w:shd w:val="clear" w:color="auto" w:fill="FFFFFF"/>
              </w:rPr>
              <w:t>ацетабулярный</w:t>
            </w:r>
            <w:proofErr w:type="spellEnd"/>
            <w:r w:rsidRPr="00FA2E0D">
              <w:rPr>
                <w:sz w:val="20"/>
                <w:szCs w:val="20"/>
                <w:shd w:val="clear" w:color="auto" w:fill="FFFFFF"/>
              </w:rPr>
              <w:t xml:space="preserve"> компонент) для замены или восстановления вертлужной впадины. Компонент представляет собой цельную конструкцию, сделанную из комбинации металла, керамики и/или полиэтилена; могут также прилагаться крепежные приспособления (например, винты) для присоединения к телу."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595A" w14:textId="725D2730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BB37A" w14:textId="3C437C9D" w:rsidR="00966016" w:rsidRPr="00336D77" w:rsidRDefault="00966016" w:rsidP="00336D77">
            <w:pPr>
              <w:spacing w:line="256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1</w:t>
            </w:r>
          </w:p>
        </w:tc>
      </w:tr>
      <w:tr w:rsidR="00966016" w:rsidRPr="00987A15" w14:paraId="35CF4694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138DB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8A5AA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12EC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AA8FF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Внешний 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2207E" w14:textId="77777777" w:rsidR="00966016" w:rsidRPr="00987A15" w:rsidRDefault="00966016" w:rsidP="00FA2E0D">
            <w:pPr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bCs/>
                <w:kern w:val="1"/>
                <w:sz w:val="18"/>
                <w:szCs w:val="18"/>
              </w:rPr>
              <w:t>миллиметр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6427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≥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36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52</w:t>
            </w:r>
          </w:p>
          <w:p w14:paraId="719018F6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≥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52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68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D64DB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30CC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23397593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6C63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F7218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F68F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79EC0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Входной диаметр бедренной головки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D435" w14:textId="77777777" w:rsidR="00966016" w:rsidRPr="00987A15" w:rsidRDefault="00966016" w:rsidP="00FA2E0D">
            <w:pPr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bCs/>
                <w:kern w:val="1"/>
                <w:sz w:val="18"/>
                <w:szCs w:val="18"/>
              </w:rPr>
              <w:t>миллиметр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F8C2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≥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32</w:t>
            </w:r>
          </w:p>
          <w:p w14:paraId="4BF1D58F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≥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32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42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A1B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61AA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386601D2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05A5F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A071B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9164" w14:textId="77777777" w:rsidR="00966016" w:rsidRPr="00987A15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994FF" w14:textId="77777777" w:rsidR="00966016" w:rsidRPr="00987A15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Материал вкладыша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FB84" w14:textId="77777777" w:rsidR="00966016" w:rsidRPr="00987A15" w:rsidRDefault="00966016" w:rsidP="00FA2E0D">
            <w:pPr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EBA9E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Полиэтилен</w:t>
            </w:r>
          </w:p>
          <w:p w14:paraId="2E09F3B3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Керамика</w:t>
            </w:r>
          </w:p>
          <w:p w14:paraId="4ED6EBA0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Полиэтилен-керамика</w:t>
            </w:r>
          </w:p>
          <w:p w14:paraId="261A2B8C" w14:textId="77777777" w:rsidR="00966016" w:rsidRPr="0080613B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Полиэтилен-металл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4F8A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32E5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45DE11C8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0A7E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0B54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5BC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CC3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Материал чашки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F3B8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E3A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Титан, титановый сплав.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F939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DC22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39EF6E66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D07A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600C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7770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1B7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Наличие воротника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8E9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D3D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4336B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53A6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41A398B5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B00C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5F8E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BEDC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BFB6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80613B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Наличие дополнительных методов фиксации (шипы, зубцы, винты)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6F07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2514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80613B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есть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0DC7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6039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220CE389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6391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FDE7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7911F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03B6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Угол наклона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658D3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⁰, град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A6C38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≥ </w:t>
            </w:r>
            <w:proofErr w:type="gram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  и</w:t>
            </w:r>
            <w:proofErr w:type="gram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 ≤ 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8520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0028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39497C5E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1D31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C2F7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27A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A8C1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Покрытие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B65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640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Наружная поверхность пористая, покрыта титановыми ассиметричными частицами. Пористость покрытия составляет (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Ti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– 700-900 мкм.)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9317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C9DA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7340F813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4F47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9D27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7B4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B25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Форма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E79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324A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Полусферическая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однорадиусная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. </w:t>
            </w:r>
          </w:p>
          <w:p w14:paraId="38721F9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7581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AB6B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6A161E19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9F08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5AD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F16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97F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Фиксация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BF1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C58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</w:rPr>
              <w:t>Бесцементная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5AD0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B78C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089E66C1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D85D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37E4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A89B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41B1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Запорный механизм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0714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6EA3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1.Имеет на полюсе чашки резьбовое отверстие для установки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импактора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. </w:t>
            </w:r>
          </w:p>
          <w:p w14:paraId="4D25159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2.Антиротационные углубления (12) по внутренней поверхности экватора чашки для полиэтиленового вкладыша.</w:t>
            </w:r>
            <w:r w:rsidRPr="00987A15">
              <w:rPr>
                <w:rFonts w:ascii="Arial" w:hAnsi="Arial" w:cs="Arial"/>
                <w:sz w:val="18"/>
                <w:szCs w:val="18"/>
              </w:rPr>
              <w:t xml:space="preserve"> 3.</w:t>
            </w: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На внутренней стороне чашки в средней трети механизм по типу «ласточкиного хвоста» </w:t>
            </w:r>
          </w:p>
          <w:p w14:paraId="22B9AC6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4.По внутренней стороне около экватора чашки конусовидное сужение с продольными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микробороздами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.</w:t>
            </w:r>
          </w:p>
          <w:p w14:paraId="4818AD6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5. На чашке расположены три отверстия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5044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2853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344C8F87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8BBA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C16E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67DB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D13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Совместимость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1A1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194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Позволяет установку 3 типов вкладышей из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поперчно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-связанного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сверхвысокомолекулярного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полиэтилена,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сверхвысокомолекулярного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полиэтилена, керамического.</w:t>
            </w:r>
          </w:p>
          <w:p w14:paraId="14EEB89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4F92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6B43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6806BC20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AF6F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41C0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253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8AD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Количество типоразмеров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1287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Штук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AA4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Количество типоразмеров - 12 для каждой из опций, с наружным диаметром – 44, 46, 48, 50, 52, 54, 56, 58, 60, 62, 64, 66 мм. (конкретный типоразмер может меняться в указанных пределах в соответствии с заявкой заказчика в зависимости от размера пациента).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CDB7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BB1F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45E854A5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BF356" w14:textId="4B814739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39771" w14:textId="77777777" w:rsidR="00966016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Вкладыш для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</w:rPr>
              <w:t>ацетабулярного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</w:rPr>
              <w:t xml:space="preserve"> компонента эндопротеза тазобедренного сустава не ограничивающий движения, полиэтиленовый </w:t>
            </w:r>
          </w:p>
          <w:p w14:paraId="68835592" w14:textId="7B2A19BE" w:rsidR="00711017" w:rsidRPr="00711017" w:rsidRDefault="00711017" w:rsidP="00FA2E0D">
            <w:pP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proofErr w:type="spellStart"/>
            <w:r w:rsidRPr="00711017">
              <w:rPr>
                <w:rFonts w:ascii="Arial" w:hAnsi="Arial" w:cs="Arial"/>
                <w:kern w:val="1"/>
                <w:sz w:val="18"/>
                <w:szCs w:val="18"/>
              </w:rPr>
              <w:t>Type</w:t>
            </w:r>
            <w:proofErr w:type="spellEnd"/>
            <w:r w:rsidRPr="00711017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711017">
              <w:rPr>
                <w:rFonts w:ascii="Arial" w:hAnsi="Arial" w:cs="Arial"/>
                <w:kern w:val="1"/>
                <w:sz w:val="18"/>
                <w:szCs w:val="18"/>
              </w:rPr>
              <w:t>acetabular</w:t>
            </w:r>
            <w:proofErr w:type="spellEnd"/>
            <w:r w:rsidRPr="00711017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711017">
              <w:rPr>
                <w:rFonts w:ascii="Arial" w:hAnsi="Arial" w:cs="Arial"/>
                <w:kern w:val="1"/>
                <w:sz w:val="18"/>
                <w:szCs w:val="18"/>
              </w:rPr>
              <w:t>cup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 xml:space="preserve"> Liner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C026" w14:textId="77777777" w:rsidR="00966016" w:rsidRPr="00987A15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19D2" w14:textId="77777777" w:rsidR="00966016" w:rsidRPr="00987A15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9409D" w14:textId="77777777" w:rsidR="00966016" w:rsidRPr="00987A15" w:rsidRDefault="00966016" w:rsidP="00FA2E0D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B123" w14:textId="77777777" w:rsidR="00966016" w:rsidRPr="0080613B" w:rsidRDefault="00966016" w:rsidP="00FA2E0D">
            <w:pPr>
              <w:spacing w:line="256" w:lineRule="auto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Стерильный имплантируемый компонент двухкомпонентного протеза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ветлужной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впадины, который помещается в протез оболочки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ветлужной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впадины для обеспечения сочлененной поверхности с протезом головки бедренной кости при тотальной артропластике тазобедренного сустава. Он изготовлен из полиэтилена (включая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хиламер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сшитый полиэтилен) и не содержит стабилизирующий компонент, ограничивающий объем движений бедра.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7FF07" w14:textId="64D42E5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F5BFA" w14:textId="04106529" w:rsidR="00966016" w:rsidRPr="00336D77" w:rsidRDefault="00966016" w:rsidP="00336D77">
            <w:pPr>
              <w:spacing w:line="256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1</w:t>
            </w:r>
          </w:p>
        </w:tc>
      </w:tr>
      <w:tr w:rsidR="00966016" w:rsidRPr="00987A15" w14:paraId="14362E2C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1B1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C143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17B2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08F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8F97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905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Сверхвысокомолекулярный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полиэтилен (</w:t>
            </w:r>
            <w:r w:rsidRPr="00987A15"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UHMWPE</w:t>
            </w: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)</w:t>
            </w:r>
          </w:p>
          <w:p w14:paraId="421B173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B301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0FBB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00D7CCE8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5FD6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F7A6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880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76BFB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Особенность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443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D4A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Форма полусферическая с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антилюксационным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выступ 10° к плоскости экватора чашки. По наружной поверхности вкладыша механизм фиксации в чашке по типу «ласточкиного хвоста». По экватору вкладыша расположены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антиротационные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выступы (12 выступов). Не требует наличия </w:t>
            </w: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централизатора</w:t>
            </w:r>
            <w:proofErr w:type="spellEnd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 на полюсе.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1097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4B9C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751BC10C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C89F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0A62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2FC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E5C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Сочетаемость с головками диаметром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F8A4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proofErr w:type="spellStart"/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Милиметр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282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В диапазоне не уже от 28 до 36 мм.</w:t>
            </w:r>
          </w:p>
          <w:p w14:paraId="22862FE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2 под головку диаметром 28 мм. - для чашек с внешним диаметром 44, 46 мм.</w:t>
            </w:r>
          </w:p>
          <w:p w14:paraId="10E821D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1 под головку диаметром 32 мм. – для чашек с внешним диаметром 48, 50 мм.</w:t>
            </w:r>
          </w:p>
          <w:p w14:paraId="3467BB3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3 под головку диаметром 36 мм. – для чашек с внешним диаметром 52, 54, 56, 58, 60, 62, 64, 66 мм. </w:t>
            </w:r>
          </w:p>
          <w:p w14:paraId="0A85A24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8FD9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55CF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2401EB64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9E35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7EA0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4A9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F19A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Количество типоразмеров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73E1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Штук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8A7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 xml:space="preserve">Не менее 6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9A6C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F948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10019980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027D4" w14:textId="399642CE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84FC4" w14:textId="77777777" w:rsidR="00966016" w:rsidRDefault="00966016" w:rsidP="00FA2E0D">
            <w:pPr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Эндопротез головки бедренной кости металлический </w:t>
            </w:r>
          </w:p>
          <w:p w14:paraId="66891958" w14:textId="5E47C757" w:rsidR="00711017" w:rsidRPr="00877E51" w:rsidRDefault="00711017" w:rsidP="00FA2E0D">
            <w:pPr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77E5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</w:t>
            </w:r>
            <w:r w:rsidRPr="00877E5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Type</w:t>
            </w:r>
            <w:r w:rsidRPr="00877E5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Femoral</w:t>
            </w:r>
            <w:r w:rsidRPr="00877E5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Head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E4420" w14:textId="77777777" w:rsidR="00966016" w:rsidRPr="00987A15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83C78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8DF3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929E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"Стерильный имплантируемый искусственный заменитель поврежденной в результате травмы или заболевания головки бедренной кости с металлической внешней поверхностью (например, из титанового сплава). Он присоединяется к оси ножки/стержня или адаптера головки/ножки эндопротеза бедренной кости и сочленяется с эндопротезом вертлужной впадины в качестве составной части тотального эндопротеза тазобедренного сустава или с биполярным компонентом частичного эндопротеза тазобедренного сустава. Изделие может иметь различную форму, от частично до полностью сферической (шаровидной); доступны изделия разных размеров."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465CB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 w:rsidRPr="00987A15"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 xml:space="preserve">Штук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1DB2A" w14:textId="0009FB3D" w:rsidR="00966016" w:rsidRPr="00336D77" w:rsidRDefault="00966016" w:rsidP="00336D77">
            <w:pPr>
              <w:spacing w:line="256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3</w:t>
            </w:r>
          </w:p>
        </w:tc>
      </w:tr>
      <w:tr w:rsidR="00966016" w:rsidRPr="00987A15" w14:paraId="0B313B8E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A82AB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101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3BE1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1445D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77DA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bCs/>
                <w:kern w:val="1"/>
                <w:sz w:val="18"/>
                <w:szCs w:val="18"/>
              </w:rPr>
              <w:t>Милиметр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DEC2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 22 и ≤ 28</w:t>
            </w:r>
          </w:p>
          <w:p w14:paraId="49F075FE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 28 и ≤ 32</w:t>
            </w:r>
          </w:p>
          <w:p w14:paraId="28EB6FFC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 32 и ≤ 36</w:t>
            </w:r>
          </w:p>
          <w:p w14:paraId="6B33E0CC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C588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BDB1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21914B96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6788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1786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24E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DD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Конус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шейки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A6F6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18FE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80613B">
              <w:rPr>
                <w:rFonts w:ascii="Arial" w:hAnsi="Arial" w:cs="Arial"/>
                <w:sz w:val="18"/>
                <w:szCs w:val="18"/>
                <w:lang w:val="en-GB" w:eastAsia="en-GB"/>
              </w:rPr>
              <w:t>12/14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1D77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4DD0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7A264294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D89BD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9099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6A4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51ADD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Материал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52AB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67C7" w14:textId="77777777" w:rsidR="00966016" w:rsidRPr="0080613B" w:rsidRDefault="00966016" w:rsidP="00FA2E0D">
            <w:pPr>
              <w:ind w:left="57"/>
              <w:contextualSpacing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proofErr w:type="spellStart"/>
            <w:r w:rsidRPr="0080613B">
              <w:rPr>
                <w:rFonts w:ascii="Arial" w:hAnsi="Arial" w:cs="Arial"/>
                <w:sz w:val="18"/>
                <w:szCs w:val="18"/>
                <w:lang w:val="en-GB" w:eastAsia="en-GB"/>
              </w:rPr>
              <w:t>Кобальт-хромовый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lang w:val="en-GB" w:eastAsia="en-GB"/>
              </w:rPr>
              <w:t>сплав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11EA1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0EA37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194CDC23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518A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184C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F43F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  <w:p w14:paraId="2F8F691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F9C0E" w14:textId="77777777" w:rsidR="00966016" w:rsidRPr="00987A15" w:rsidRDefault="00966016" w:rsidP="00FA2E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Офсет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головки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(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длина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шейки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292DC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bCs/>
                <w:kern w:val="1"/>
                <w:sz w:val="18"/>
                <w:szCs w:val="18"/>
              </w:rPr>
              <w:t xml:space="preserve">Миллиметр </w:t>
            </w:r>
          </w:p>
          <w:p w14:paraId="5958F097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bCs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B5A2" w14:textId="77777777" w:rsidR="00966016" w:rsidRPr="0080613B" w:rsidRDefault="00966016" w:rsidP="00FA2E0D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CCEED75" w14:textId="77777777" w:rsidR="00966016" w:rsidRPr="0080613B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 22 и ≤ 28</w:t>
            </w:r>
            <w:r w:rsidRPr="0080613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15EA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1BE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06577EFA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5EA2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B5CD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FAFF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B06BD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757A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83B0" w14:textId="77777777" w:rsidR="00966016" w:rsidRPr="0080613B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0613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&gt; 28 и ≤ 32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0332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69DF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6BE4ACA7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EF9B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372C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C6A2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113E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2994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D321" w14:textId="77777777" w:rsidR="00966016" w:rsidRPr="0080613B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&gt; 32 и ≤ 36</w:t>
            </w:r>
            <w:r w:rsidRPr="0080613B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51EC0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96DC3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036A005B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06234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17881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D398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22E5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97943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09E3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87A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≥ -10 и ≤ -5</w:t>
            </w:r>
          </w:p>
          <w:p w14:paraId="438DF765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&gt; -5 и ≤ 0</w:t>
            </w:r>
          </w:p>
          <w:p w14:paraId="3858C4CB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&gt; 0 и ≤ +5</w:t>
            </w:r>
          </w:p>
          <w:p w14:paraId="40827730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val="en-GB" w:eastAsia="en-GB"/>
              </w:rPr>
              <w:t>&gt; +5 и ≤ +10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68526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EC50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7A334174" w14:textId="77777777" w:rsidTr="00877E51">
        <w:tblPrEx>
          <w:tblLook w:val="04A0" w:firstRow="1" w:lastRow="0" w:firstColumn="1" w:lastColumn="0" w:noHBand="0" w:noVBand="1"/>
        </w:tblPrEx>
        <w:trPr>
          <w:trHeight w:val="1754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C4FDE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3D32C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9123A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33B4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Размеры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56B51" w14:textId="77777777" w:rsidR="00966016" w:rsidRPr="00987A15" w:rsidRDefault="00966016" w:rsidP="00FA2E0D">
            <w:pPr>
              <w:ind w:left="57"/>
              <w:contextualSpacing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bCs/>
                <w:kern w:val="1"/>
                <w:sz w:val="18"/>
                <w:szCs w:val="18"/>
              </w:rPr>
              <w:t>штук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2BDB3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4 головки с диаметром 22 мм. с глубиной посадки 0, 3, 6, 9 мм.</w:t>
            </w:r>
          </w:p>
          <w:p w14:paraId="43142324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6 головок с диаметром 28 мм. с глубиной посадки -6, -3, 0, 3, 6, 9 мм.</w:t>
            </w:r>
          </w:p>
          <w:p w14:paraId="7694EEDF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5 головок с диаметром 32 мм. с глубиной посадки -6, -3, 0, 3, 6 мм.</w:t>
            </w:r>
          </w:p>
          <w:p w14:paraId="4A9CD633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color w:val="334059"/>
                <w:sz w:val="18"/>
                <w:szCs w:val="18"/>
                <w:shd w:val="clear" w:color="auto" w:fill="FFFFFF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5 головок с диаметром 36 мм. с глубиной посадки -6, -3, 0, 3, 6 мм.</w:t>
            </w:r>
          </w:p>
          <w:p w14:paraId="7DD23FA9" w14:textId="77777777" w:rsidR="00966016" w:rsidRPr="00987A15" w:rsidRDefault="00966016" w:rsidP="00FA2E0D">
            <w:pPr>
              <w:spacing w:before="100" w:beforeAutospacing="1" w:after="100" w:afterAutospacing="1"/>
              <w:ind w:left="57"/>
              <w:contextualSpacing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38C05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6219" w14:textId="77777777" w:rsidR="00966016" w:rsidRPr="00987A15" w:rsidRDefault="00966016" w:rsidP="00FA2E0D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336D77" w14:paraId="7B61473B" w14:textId="16DC5FE2" w:rsidTr="00877E51">
        <w:trPr>
          <w:trHeight w:val="255"/>
        </w:trPr>
        <w:tc>
          <w:tcPr>
            <w:tcW w:w="521" w:type="dxa"/>
            <w:vMerge w:val="restart"/>
            <w:shd w:val="clear" w:color="auto" w:fill="FFFFFF"/>
          </w:tcPr>
          <w:p w14:paraId="1E4E10B6" w14:textId="62FF66B3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8</w:t>
            </w:r>
          </w:p>
        </w:tc>
        <w:tc>
          <w:tcPr>
            <w:tcW w:w="1889" w:type="dxa"/>
            <w:gridSpan w:val="3"/>
            <w:vMerge w:val="restart"/>
            <w:shd w:val="clear" w:color="auto" w:fill="FFFFFF"/>
          </w:tcPr>
          <w:p w14:paraId="4932B4F0" w14:textId="77777777" w:rsidR="00966016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452A97">
              <w:rPr>
                <w:rFonts w:ascii="Arial" w:hAnsi="Arial" w:cs="Arial"/>
                <w:kern w:val="1"/>
                <w:sz w:val="18"/>
                <w:szCs w:val="18"/>
              </w:rPr>
              <w:t xml:space="preserve">Компонент эндопротеза тазобедренного сустава </w:t>
            </w:r>
            <w:proofErr w:type="spellStart"/>
            <w:r w:rsidRPr="00452A97">
              <w:rPr>
                <w:rFonts w:ascii="Arial" w:hAnsi="Arial" w:cs="Arial"/>
                <w:kern w:val="1"/>
                <w:sz w:val="18"/>
                <w:szCs w:val="18"/>
              </w:rPr>
              <w:t>ацетабулярный</w:t>
            </w:r>
            <w:proofErr w:type="spellEnd"/>
            <w:r w:rsidRPr="00452A97">
              <w:rPr>
                <w:rFonts w:ascii="Arial" w:hAnsi="Arial" w:cs="Arial"/>
                <w:kern w:val="1"/>
                <w:sz w:val="18"/>
                <w:szCs w:val="18"/>
              </w:rPr>
              <w:t xml:space="preserve"> полиэтиленовый </w:t>
            </w:r>
          </w:p>
          <w:p w14:paraId="3F13FCE2" w14:textId="509F1AFA" w:rsidR="00711017" w:rsidRPr="00711017" w:rsidRDefault="00711017" w:rsidP="00D6049F">
            <w:pP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 xml:space="preserve">Cemented </w:t>
            </w:r>
            <w:r w:rsidR="00877E51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acetabular Cup</w:t>
            </w:r>
          </w:p>
        </w:tc>
        <w:tc>
          <w:tcPr>
            <w:tcW w:w="567" w:type="dxa"/>
            <w:shd w:val="clear" w:color="auto" w:fill="FFFFFF"/>
          </w:tcPr>
          <w:p w14:paraId="7CD93148" w14:textId="77777777" w:rsidR="00966016" w:rsidRPr="00452A97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3344866D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Описание </w:t>
            </w:r>
          </w:p>
        </w:tc>
        <w:tc>
          <w:tcPr>
            <w:tcW w:w="1560" w:type="dxa"/>
            <w:shd w:val="clear" w:color="auto" w:fill="FFFFFF"/>
          </w:tcPr>
          <w:p w14:paraId="66E5D365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19EBB4B1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"Стерильный имплантируемый главный компонент тотального протеза бедренного сустава (компонент, относящийся к вертлужной впадине) для замены или восстановления вертлужной впадины. Компонент представляет собой цельную конструкцию, полностью сделанную из полиэтилена (полиэтиленовый колпачок); может включать устройства для фиксации (например, винты) для присоединения к телу."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BE56BB2" w14:textId="77777777" w:rsidR="00966016" w:rsidRPr="00336D77" w:rsidRDefault="00966016" w:rsidP="00D6049F">
            <w:pPr>
              <w:contextualSpacing/>
              <w:jc w:val="center"/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57146E" w14:textId="77777777" w:rsidR="00966016" w:rsidRPr="00336D77" w:rsidRDefault="00966016">
            <w:pPr>
              <w:spacing w:after="160" w:line="259" w:lineRule="auto"/>
            </w:pPr>
          </w:p>
        </w:tc>
      </w:tr>
      <w:tr w:rsidR="00966016" w:rsidRPr="00452A97" w14:paraId="2C7F46D9" w14:textId="6AB783B2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5DF68BC8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574B2CF1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7A0806B8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20F6B3A3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Внешний диаметр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3356322F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Миллиметр </w:t>
            </w:r>
          </w:p>
        </w:tc>
        <w:tc>
          <w:tcPr>
            <w:tcW w:w="5386" w:type="dxa"/>
            <w:shd w:val="clear" w:color="auto" w:fill="FFFFFF"/>
          </w:tcPr>
          <w:p w14:paraId="0CCFF0DF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42 и ≤ 44</w:t>
            </w:r>
          </w:p>
        </w:tc>
        <w:tc>
          <w:tcPr>
            <w:tcW w:w="1276" w:type="dxa"/>
            <w:vMerge/>
            <w:shd w:val="clear" w:color="auto" w:fill="FFFFFF"/>
          </w:tcPr>
          <w:p w14:paraId="3A38B4DD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D44254C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6C697F54" w14:textId="5A57A215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29CDAE0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7A5A0EA3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BF0780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3398548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50BABB73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26B60FA3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44 и ≤ 46</w:t>
            </w:r>
          </w:p>
        </w:tc>
        <w:tc>
          <w:tcPr>
            <w:tcW w:w="1276" w:type="dxa"/>
            <w:vMerge/>
            <w:shd w:val="clear" w:color="auto" w:fill="FFFFFF"/>
          </w:tcPr>
          <w:p w14:paraId="24D3CCEE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EF1F8C9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60D93707" w14:textId="53E22C35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2646B48D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09CC6BA2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249D1FD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509955C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3BB3E6B2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7FA5FB8C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46 и ≤ 48</w:t>
            </w:r>
          </w:p>
        </w:tc>
        <w:tc>
          <w:tcPr>
            <w:tcW w:w="1276" w:type="dxa"/>
            <w:vMerge/>
            <w:shd w:val="clear" w:color="auto" w:fill="FFFFFF"/>
          </w:tcPr>
          <w:p w14:paraId="3C81F678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6C6CA64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71388E5C" w14:textId="334F2FB4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0820F4CB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2165FE81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0E1570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FD4A247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5B62457F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641112D2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48 и ≤ 50</w:t>
            </w:r>
          </w:p>
        </w:tc>
        <w:tc>
          <w:tcPr>
            <w:tcW w:w="1276" w:type="dxa"/>
            <w:vMerge/>
            <w:shd w:val="clear" w:color="auto" w:fill="FFFFFF"/>
          </w:tcPr>
          <w:p w14:paraId="7E1470CE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FE5C9E7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2C61EECD" w14:textId="2D7FA7FE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21BA659F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5826B89F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08593D6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7F855E0B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3A75BC04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51BAAE35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50 и ≤ 52</w:t>
            </w:r>
          </w:p>
        </w:tc>
        <w:tc>
          <w:tcPr>
            <w:tcW w:w="1276" w:type="dxa"/>
            <w:vMerge/>
            <w:shd w:val="clear" w:color="auto" w:fill="FFFFFF"/>
          </w:tcPr>
          <w:p w14:paraId="131F21D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55C8588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36F4CD87" w14:textId="197B661C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44130311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72582F56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3C1CF6F8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E3B6455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0784DB5D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0EE02108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52 и ≤ 54</w:t>
            </w:r>
          </w:p>
        </w:tc>
        <w:tc>
          <w:tcPr>
            <w:tcW w:w="1276" w:type="dxa"/>
            <w:vMerge/>
            <w:shd w:val="clear" w:color="auto" w:fill="FFFFFF"/>
          </w:tcPr>
          <w:p w14:paraId="627B8045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E090063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41205DF8" w14:textId="2A60A2FE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687D948C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2E419D9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6477310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E15F20C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4AF389E7" w14:textId="77777777" w:rsidR="00966016" w:rsidRPr="00951092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7BFE510F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54 и ≤ 56</w:t>
            </w:r>
          </w:p>
        </w:tc>
        <w:tc>
          <w:tcPr>
            <w:tcW w:w="1276" w:type="dxa"/>
            <w:vMerge/>
            <w:shd w:val="clear" w:color="auto" w:fill="FFFFFF"/>
          </w:tcPr>
          <w:p w14:paraId="0B4DC23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859B99F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4FEC7A4B" w14:textId="0532F051" w:rsidTr="00877E51">
        <w:trPr>
          <w:trHeight w:val="255"/>
        </w:trPr>
        <w:tc>
          <w:tcPr>
            <w:tcW w:w="521" w:type="dxa"/>
            <w:vMerge/>
            <w:shd w:val="clear" w:color="auto" w:fill="FFFFFF"/>
          </w:tcPr>
          <w:p w14:paraId="11C1D075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2B895864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F10ADCC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DE85129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Входной диаметр для бедренной головки</w:t>
            </w:r>
          </w:p>
        </w:tc>
        <w:tc>
          <w:tcPr>
            <w:tcW w:w="1560" w:type="dxa"/>
            <w:shd w:val="clear" w:color="auto" w:fill="FFFFFF"/>
          </w:tcPr>
          <w:p w14:paraId="647E7ADE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Миллиметр</w:t>
            </w:r>
          </w:p>
        </w:tc>
        <w:tc>
          <w:tcPr>
            <w:tcW w:w="5386" w:type="dxa"/>
            <w:shd w:val="clear" w:color="auto" w:fill="FFFFFF"/>
          </w:tcPr>
          <w:p w14:paraId="633C82D8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23747D66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26 и ≤ 30</w:t>
            </w:r>
          </w:p>
          <w:p w14:paraId="46FB7F3B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ABFECCF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E3A07F4" w14:textId="77777777" w:rsidR="00966016" w:rsidRPr="00452A97" w:rsidRDefault="00966016">
            <w:pPr>
              <w:spacing w:after="160" w:line="259" w:lineRule="auto"/>
            </w:pPr>
          </w:p>
        </w:tc>
      </w:tr>
      <w:tr w:rsidR="00966016" w:rsidRPr="00452A97" w14:paraId="51DE7A28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3E1C78D2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5EE52A2F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890439D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717E9F25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Исполнение</w:t>
            </w:r>
          </w:p>
        </w:tc>
        <w:tc>
          <w:tcPr>
            <w:tcW w:w="1560" w:type="dxa"/>
            <w:shd w:val="clear" w:color="auto" w:fill="FFFFFF"/>
          </w:tcPr>
          <w:p w14:paraId="21AC48BA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696ECBD4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proofErr w:type="spellStart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Полнопрофильная</w:t>
            </w:r>
            <w:proofErr w:type="spellEnd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.</w:t>
            </w:r>
          </w:p>
          <w:p w14:paraId="5A8E7010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5394A2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7556E77D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5F012F04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76F599AF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715B40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26A84849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Наличие </w:t>
            </w:r>
            <w:proofErr w:type="spellStart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антилюксационного</w:t>
            </w:r>
            <w:proofErr w:type="spellEnd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 элемента</w:t>
            </w:r>
          </w:p>
        </w:tc>
        <w:tc>
          <w:tcPr>
            <w:tcW w:w="1560" w:type="dxa"/>
            <w:shd w:val="clear" w:color="auto" w:fill="FFFFFF"/>
          </w:tcPr>
          <w:p w14:paraId="20E9E6E6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484BB8E1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Есть</w:t>
            </w:r>
          </w:p>
        </w:tc>
        <w:tc>
          <w:tcPr>
            <w:tcW w:w="1276" w:type="dxa"/>
            <w:vMerge/>
            <w:shd w:val="clear" w:color="auto" w:fill="FFFFFF"/>
          </w:tcPr>
          <w:p w14:paraId="4335785A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4003F638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21FB9B9A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5C207937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4D716DC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2A94D4A2" w14:textId="77777777" w:rsidR="00966016" w:rsidRPr="0080613B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Угол наклона края</w:t>
            </w:r>
          </w:p>
        </w:tc>
        <w:tc>
          <w:tcPr>
            <w:tcW w:w="1560" w:type="dxa"/>
            <w:shd w:val="clear" w:color="auto" w:fill="FFFFFF"/>
          </w:tcPr>
          <w:p w14:paraId="2AAE151B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⁰, град</w:t>
            </w:r>
          </w:p>
        </w:tc>
        <w:tc>
          <w:tcPr>
            <w:tcW w:w="5386" w:type="dxa"/>
            <w:shd w:val="clear" w:color="auto" w:fill="FFFFFF"/>
          </w:tcPr>
          <w:p w14:paraId="736C86DF" w14:textId="77777777" w:rsidR="00966016" w:rsidRPr="00951092" w:rsidRDefault="00966016" w:rsidP="00D6049F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&gt; 5 и ≤ 10</w:t>
            </w:r>
          </w:p>
        </w:tc>
        <w:tc>
          <w:tcPr>
            <w:tcW w:w="1276" w:type="dxa"/>
            <w:vMerge/>
            <w:shd w:val="clear" w:color="auto" w:fill="FFFFFF"/>
          </w:tcPr>
          <w:p w14:paraId="2D375D53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79F0D857" w14:textId="77777777" w:rsidTr="00C864F8">
        <w:trPr>
          <w:gridAfter w:val="1"/>
          <w:wAfter w:w="1276" w:type="dxa"/>
          <w:trHeight w:val="618"/>
        </w:trPr>
        <w:tc>
          <w:tcPr>
            <w:tcW w:w="521" w:type="dxa"/>
            <w:vMerge/>
            <w:shd w:val="clear" w:color="auto" w:fill="FFFFFF"/>
          </w:tcPr>
          <w:p w14:paraId="73099D9B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61F9BCC6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44CBD43E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5A9A1FF8" w14:textId="77777777" w:rsidR="00966016" w:rsidRPr="0080613B" w:rsidRDefault="00966016" w:rsidP="00D6049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Форма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65C957F1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783F9323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Полусферическая, по наружной поверхности вертикальные и горизонтальные борозды. </w:t>
            </w:r>
          </w:p>
          <w:p w14:paraId="39FC96B5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proofErr w:type="spellStart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Антилюксационный</w:t>
            </w:r>
            <w:proofErr w:type="spellEnd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 козырек 20 градусов.</w:t>
            </w:r>
          </w:p>
          <w:p w14:paraId="2A2E744C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53305995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DBD158F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7206D32D" w14:textId="77777777" w:rsidTr="00C864F8">
        <w:trPr>
          <w:gridAfter w:val="1"/>
          <w:wAfter w:w="1276" w:type="dxa"/>
          <w:trHeight w:val="618"/>
        </w:trPr>
        <w:tc>
          <w:tcPr>
            <w:tcW w:w="521" w:type="dxa"/>
            <w:vMerge/>
            <w:shd w:val="clear" w:color="auto" w:fill="FFFFFF"/>
          </w:tcPr>
          <w:p w14:paraId="27A86B72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305322D8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06C96F6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0E8015B" w14:textId="77777777" w:rsidR="00966016" w:rsidRPr="00951092" w:rsidRDefault="00966016" w:rsidP="00D6049F">
            <w:pPr>
              <w:rPr>
                <w:rFonts w:ascii="Arial" w:hAnsi="Arial" w:cs="Arial"/>
                <w:color w:val="33405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3F88DD6C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</w:tcPr>
          <w:p w14:paraId="00A3439E" w14:textId="77777777" w:rsidR="00966016" w:rsidRPr="00951092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 xml:space="preserve">На лицевой стороне чашки, два слепых отверстия. Для установки </w:t>
            </w:r>
            <w:proofErr w:type="spellStart"/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импактора</w:t>
            </w:r>
            <w:proofErr w:type="spellEnd"/>
          </w:p>
        </w:tc>
        <w:tc>
          <w:tcPr>
            <w:tcW w:w="1276" w:type="dxa"/>
            <w:vMerge/>
            <w:shd w:val="clear" w:color="auto" w:fill="FFFFFF"/>
          </w:tcPr>
          <w:p w14:paraId="7E9D4256" w14:textId="77777777" w:rsidR="00966016" w:rsidRPr="00452A97" w:rsidRDefault="00966016" w:rsidP="00D6049F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0EFAB24A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 w:val="restart"/>
            <w:shd w:val="clear" w:color="auto" w:fill="FFFFFF"/>
          </w:tcPr>
          <w:p w14:paraId="123C883C" w14:textId="315625F0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9</w:t>
            </w:r>
          </w:p>
        </w:tc>
        <w:tc>
          <w:tcPr>
            <w:tcW w:w="1889" w:type="dxa"/>
            <w:gridSpan w:val="3"/>
            <w:vMerge w:val="restart"/>
            <w:shd w:val="clear" w:color="auto" w:fill="FFFFFF"/>
          </w:tcPr>
          <w:p w14:paraId="72480CFA" w14:textId="77777777" w:rsidR="00966016" w:rsidRPr="00452A97" w:rsidRDefault="00966016" w:rsidP="00FA2E0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eastAsia="en-GB"/>
              </w:rPr>
              <w:t xml:space="preserve">Ножка эндопротеза бедренной кости непокрытая, однокомпонентная </w:t>
            </w:r>
          </w:p>
          <w:p w14:paraId="5126D75E" w14:textId="0387B084" w:rsidR="00966016" w:rsidRPr="00877E51" w:rsidRDefault="00877E51" w:rsidP="00FA2E0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BC4 </w:t>
            </w:r>
            <w:r w:rsidRPr="00877E51">
              <w:rPr>
                <w:rFonts w:ascii="Arial" w:hAnsi="Arial" w:cs="Arial"/>
                <w:sz w:val="18"/>
                <w:szCs w:val="18"/>
                <w:lang w:val="en-US"/>
              </w:rPr>
              <w:t>Type Femoral Stem</w:t>
            </w:r>
          </w:p>
        </w:tc>
        <w:tc>
          <w:tcPr>
            <w:tcW w:w="567" w:type="dxa"/>
            <w:shd w:val="clear" w:color="auto" w:fill="FFFFFF"/>
          </w:tcPr>
          <w:p w14:paraId="5A21176D" w14:textId="77777777" w:rsidR="00966016" w:rsidRPr="00452A97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28C881D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A97">
              <w:rPr>
                <w:rFonts w:ascii="Arial" w:hAnsi="Arial" w:cs="Arial"/>
                <w:sz w:val="18"/>
                <w:szCs w:val="18"/>
              </w:rPr>
              <w:t xml:space="preserve">Описание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44EA05F" w14:textId="77777777" w:rsidR="00966016" w:rsidRPr="00452A97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76B1C33" w14:textId="77777777" w:rsidR="00966016" w:rsidRPr="0080613B" w:rsidRDefault="00966016" w:rsidP="00FA2E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Стерильное имплантируемое изделие, предназначенное для замены шейки проксимального отдела бедренной кости при проведении тотальной артропластики тазобедренного сустава. Это цельное изделие, сделанное из металла [например: кобальт-хромового сплава (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Co-Cr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титана (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Ti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нержавеющей стали] и не покрытое материалом, предназначенным для улучшения его фиксации и стабильности за счет прорастания кости. Изделие может комплектоваться крепежными изделиями для имплантации (например, винтами и болтами). Имплантация осуществляется с использованием костного цемента.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2E32476" w14:textId="5AB911AC" w:rsidR="00966016" w:rsidRPr="00336D77" w:rsidRDefault="00966016" w:rsidP="00336D77">
            <w:pPr>
              <w:contextualSpacing/>
              <w:jc w:val="center"/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2</w:t>
            </w:r>
          </w:p>
        </w:tc>
      </w:tr>
      <w:tr w:rsidR="00966016" w:rsidRPr="00452A97" w14:paraId="4DDA6CE4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4296784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34CF576C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159ABF2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82610FF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eastAsia="en-GB"/>
              </w:rPr>
              <w:t>Материал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766D550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2F122D43" w14:textId="77777777" w:rsidR="00966016" w:rsidRPr="00452A97" w:rsidRDefault="00966016" w:rsidP="00FA2E0D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</w:rPr>
              <w:t>Кобальт-хромовый сплав</w:t>
            </w:r>
          </w:p>
        </w:tc>
        <w:tc>
          <w:tcPr>
            <w:tcW w:w="1276" w:type="dxa"/>
            <w:vMerge/>
            <w:shd w:val="clear" w:color="auto" w:fill="FFFFFF"/>
          </w:tcPr>
          <w:p w14:paraId="10454E52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60B08E92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4F903D25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257D2147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C725D8F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A7C1CB3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Конус</w:t>
            </w:r>
            <w:proofErr w:type="spellEnd"/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шейки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665F27D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014A217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12/14 (</w:t>
            </w:r>
            <w:proofErr w:type="spellStart"/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включая</w:t>
            </w:r>
            <w:proofErr w:type="spellEnd"/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6°)</w:t>
            </w:r>
          </w:p>
        </w:tc>
        <w:tc>
          <w:tcPr>
            <w:tcW w:w="1276" w:type="dxa"/>
            <w:vMerge/>
            <w:shd w:val="clear" w:color="auto" w:fill="FFFFFF"/>
          </w:tcPr>
          <w:p w14:paraId="695E460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7915BEA1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705A5AB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655B5A49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14:paraId="7CA3826D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7CF7C9F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Длина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</w:tcPr>
          <w:p w14:paraId="5DEC9E53" w14:textId="77777777" w:rsidR="00966016" w:rsidRPr="00452A97" w:rsidRDefault="00966016" w:rsidP="00FA2E0D">
            <w:pPr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452A97">
              <w:rPr>
                <w:rFonts w:ascii="Arial" w:hAnsi="Arial" w:cs="Arial"/>
                <w:bCs/>
                <w:kern w:val="1"/>
                <w:sz w:val="18"/>
                <w:szCs w:val="18"/>
              </w:rPr>
              <w:t>Миллиметр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982C9B1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&gt; 105 и ≤ 115</w:t>
            </w:r>
          </w:p>
        </w:tc>
        <w:tc>
          <w:tcPr>
            <w:tcW w:w="1276" w:type="dxa"/>
            <w:vMerge/>
            <w:shd w:val="clear" w:color="auto" w:fill="FFFFFF"/>
          </w:tcPr>
          <w:p w14:paraId="10D2911D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62873F56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523F1010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44FB8FBD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01C611B7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6A25AF8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3D88AC7F" w14:textId="77777777" w:rsidR="00966016" w:rsidRPr="00452A97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F4E4ACB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&gt; 125 и ≤ 135</w:t>
            </w:r>
          </w:p>
        </w:tc>
        <w:tc>
          <w:tcPr>
            <w:tcW w:w="1276" w:type="dxa"/>
            <w:vMerge/>
            <w:shd w:val="clear" w:color="auto" w:fill="FFFFFF"/>
          </w:tcPr>
          <w:p w14:paraId="2CDE2D94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1AB0C504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7995A566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31B11CAD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2A5E259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0E977CD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77A5DCE5" w14:textId="77777777" w:rsidR="00966016" w:rsidRPr="00452A97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31182CD6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&gt; 135 и ≤ 145</w:t>
            </w:r>
          </w:p>
        </w:tc>
        <w:tc>
          <w:tcPr>
            <w:tcW w:w="1276" w:type="dxa"/>
            <w:vMerge/>
            <w:shd w:val="clear" w:color="auto" w:fill="FFFFFF"/>
          </w:tcPr>
          <w:p w14:paraId="1587ED8C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76238E76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0A82E3ED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650099FE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63209178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3798D85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19371ADC" w14:textId="77777777" w:rsidR="00966016" w:rsidRPr="00452A97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20E20FE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&gt; 145 и ≤ 155</w:t>
            </w:r>
          </w:p>
        </w:tc>
        <w:tc>
          <w:tcPr>
            <w:tcW w:w="1276" w:type="dxa"/>
            <w:vMerge/>
            <w:shd w:val="clear" w:color="auto" w:fill="FFFFFF"/>
          </w:tcPr>
          <w:p w14:paraId="38D2481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05A79193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4D1D4059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3CE802E5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2BC3E854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5B4AFE4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4FCC7B58" w14:textId="77777777" w:rsidR="00966016" w:rsidRPr="00452A97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72A4BDAD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lang w:val="en-GB" w:eastAsia="en-GB"/>
              </w:rPr>
              <w:t>&gt; 155 и ≤ 165</w:t>
            </w:r>
          </w:p>
        </w:tc>
        <w:tc>
          <w:tcPr>
            <w:tcW w:w="1276" w:type="dxa"/>
            <w:vMerge/>
            <w:shd w:val="clear" w:color="auto" w:fill="FFFFFF"/>
          </w:tcPr>
          <w:p w14:paraId="20C6CCB2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0FEFBD92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08885DC4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7C5C624B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14:paraId="7F33BFC4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F50D163" w14:textId="77777777" w:rsidR="00966016" w:rsidRPr="00452A97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5A7DC7A9" w14:textId="77777777" w:rsidR="00966016" w:rsidRPr="00452A97" w:rsidRDefault="00966016" w:rsidP="00FA2E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2661929C" w14:textId="77777777" w:rsidR="00966016" w:rsidRPr="00452A97" w:rsidRDefault="00966016" w:rsidP="00FA2E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452A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&gt; 165 и ≤ 175</w:t>
            </w:r>
          </w:p>
        </w:tc>
        <w:tc>
          <w:tcPr>
            <w:tcW w:w="1276" w:type="dxa"/>
            <w:vMerge/>
            <w:shd w:val="clear" w:color="auto" w:fill="FFFFFF"/>
          </w:tcPr>
          <w:p w14:paraId="2E65BC26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61F1DA10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7B48539E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03975357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F64DADD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2D3B35" w14:textId="77777777" w:rsidR="00966016" w:rsidRPr="00951092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Форма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514541CF" w14:textId="77777777" w:rsidR="00966016" w:rsidRPr="00951092" w:rsidRDefault="00966016" w:rsidP="00FA2E0D">
            <w:pPr>
              <w:ind w:left="57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68FA8F11" w14:textId="77777777" w:rsidR="00966016" w:rsidRPr="00951092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eastAsia="en-GB"/>
              </w:rPr>
              <w:t xml:space="preserve">Клиновидная. </w:t>
            </w:r>
          </w:p>
          <w:p w14:paraId="6F4F7C74" w14:textId="77777777" w:rsidR="00966016" w:rsidRPr="00951092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eastAsia="en-GB"/>
              </w:rPr>
              <w:t>Конусовидное сужение в проксимальной части по передней и задней поверхностям ножки, прямоугольное сечение.</w:t>
            </w:r>
          </w:p>
          <w:p w14:paraId="576662F4" w14:textId="77777777" w:rsidR="00966016" w:rsidRPr="00951092" w:rsidRDefault="00966016" w:rsidP="00FA2E0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eastAsia="en-GB"/>
              </w:rPr>
              <w:t>В комплект с изделием входит заглушка костномозгового канала для цементирования стерильная.</w:t>
            </w:r>
          </w:p>
        </w:tc>
        <w:tc>
          <w:tcPr>
            <w:tcW w:w="1276" w:type="dxa"/>
            <w:vMerge/>
            <w:shd w:val="clear" w:color="auto" w:fill="FFFFFF"/>
          </w:tcPr>
          <w:p w14:paraId="7C263CA7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703EC231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16477A59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19560F5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5964363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0A3DFD7" w14:textId="77777777" w:rsidR="00966016" w:rsidRPr="00951092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Применение</w:t>
            </w:r>
            <w:proofErr w:type="spell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с </w:t>
            </w:r>
            <w:proofErr w:type="spell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дистальным</w:t>
            </w:r>
            <w:proofErr w:type="spell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централизатором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9CF21C1" w14:textId="77777777" w:rsidR="00966016" w:rsidRPr="00951092" w:rsidRDefault="00966016" w:rsidP="00FA2E0D">
            <w:pPr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4A4EE379" w14:textId="77777777" w:rsidR="00966016" w:rsidRPr="00951092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kern w:val="1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/>
            <w:shd w:val="clear" w:color="auto" w:fill="FFFFFF"/>
          </w:tcPr>
          <w:p w14:paraId="0881A25F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428A8BDF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32ACCE08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15C10033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83156A8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D6325E" w14:textId="77777777" w:rsidR="00966016" w:rsidRPr="00951092" w:rsidRDefault="00966016" w:rsidP="00FA2E0D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Шеечно-диафизарный</w:t>
            </w:r>
            <w:proofErr w:type="spell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угол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3F56F0A1" w14:textId="77777777" w:rsidR="00966016" w:rsidRPr="00951092" w:rsidRDefault="00966016" w:rsidP="00FA2E0D">
            <w:pPr>
              <w:ind w:left="57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bCs/>
                <w:kern w:val="1"/>
                <w:sz w:val="18"/>
                <w:szCs w:val="18"/>
              </w:rPr>
              <w:t>⁰, град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55A17F9" w14:textId="77777777" w:rsidR="00966016" w:rsidRPr="00951092" w:rsidRDefault="00966016" w:rsidP="00FA2E0D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&gt; 130 и ≤ 135</w:t>
            </w:r>
          </w:p>
        </w:tc>
        <w:tc>
          <w:tcPr>
            <w:tcW w:w="1276" w:type="dxa"/>
            <w:vMerge/>
            <w:shd w:val="clear" w:color="auto" w:fill="FFFFFF"/>
          </w:tcPr>
          <w:p w14:paraId="0D34ED9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47712B8E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5824CCB1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65651422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1C256C8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7882F37" w14:textId="77777777" w:rsidR="00966016" w:rsidRPr="00951092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51092">
              <w:rPr>
                <w:rFonts w:ascii="Arial" w:hAnsi="Arial" w:cs="Arial"/>
                <w:sz w:val="18"/>
                <w:szCs w:val="18"/>
              </w:rPr>
              <w:t xml:space="preserve">Офсет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8834DC" w14:textId="77777777" w:rsidR="00966016" w:rsidRPr="00951092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51092">
              <w:rPr>
                <w:rFonts w:ascii="Arial" w:hAnsi="Arial" w:cs="Arial"/>
                <w:bCs/>
                <w:kern w:val="1"/>
                <w:sz w:val="18"/>
                <w:szCs w:val="18"/>
              </w:rPr>
              <w:t xml:space="preserve">Миллиметр 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A60BAA1" w14:textId="77777777" w:rsidR="00966016" w:rsidRPr="00951092" w:rsidRDefault="00966016" w:rsidP="00FA2E0D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eastAsia="en-GB"/>
              </w:rPr>
              <w:t xml:space="preserve">                                          </w:t>
            </w: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&gt; </w:t>
            </w:r>
            <w:proofErr w:type="gram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40</w:t>
            </w:r>
            <w:r w:rsidRPr="00951092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и</w:t>
            </w:r>
            <w:proofErr w:type="gram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951092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≤ 42</w:t>
            </w:r>
          </w:p>
          <w:p w14:paraId="4BE4A31B" w14:textId="77777777" w:rsidR="00966016" w:rsidRPr="00951092" w:rsidRDefault="00966016" w:rsidP="00FA2E0D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&gt; </w:t>
            </w:r>
            <w:proofErr w:type="gram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42  и</w:t>
            </w:r>
            <w:proofErr w:type="gram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  ≤ 44</w:t>
            </w:r>
          </w:p>
          <w:p w14:paraId="1D521CE0" w14:textId="77777777" w:rsidR="00966016" w:rsidRPr="00951092" w:rsidRDefault="00966016" w:rsidP="00FA2E0D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&gt; </w:t>
            </w:r>
            <w:proofErr w:type="gram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44  и</w:t>
            </w:r>
            <w:proofErr w:type="gram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  ≤ 46</w:t>
            </w:r>
          </w:p>
          <w:p w14:paraId="722A7D96" w14:textId="77777777" w:rsidR="00966016" w:rsidRPr="00951092" w:rsidRDefault="00966016" w:rsidP="00FA2E0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&gt; </w:t>
            </w:r>
            <w:proofErr w:type="gramStart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46  и</w:t>
            </w:r>
            <w:proofErr w:type="gramEnd"/>
            <w:r w:rsidRPr="00951092">
              <w:rPr>
                <w:rFonts w:ascii="Arial" w:hAnsi="Arial" w:cs="Arial"/>
                <w:sz w:val="18"/>
                <w:szCs w:val="18"/>
                <w:lang w:val="en-GB" w:eastAsia="en-GB"/>
              </w:rPr>
              <w:t>  ≤ 48</w:t>
            </w:r>
          </w:p>
        </w:tc>
        <w:tc>
          <w:tcPr>
            <w:tcW w:w="1276" w:type="dxa"/>
            <w:vMerge/>
            <w:shd w:val="clear" w:color="auto" w:fill="FFFFFF"/>
          </w:tcPr>
          <w:p w14:paraId="25870255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452A97" w14:paraId="29741895" w14:textId="77777777" w:rsidTr="00C864F8">
        <w:trPr>
          <w:gridAfter w:val="1"/>
          <w:wAfter w:w="1276" w:type="dxa"/>
          <w:trHeight w:val="255"/>
        </w:trPr>
        <w:tc>
          <w:tcPr>
            <w:tcW w:w="521" w:type="dxa"/>
            <w:vMerge/>
            <w:shd w:val="clear" w:color="auto" w:fill="FFFFFF"/>
          </w:tcPr>
          <w:p w14:paraId="5BA0B4A9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vMerge/>
            <w:shd w:val="clear" w:color="auto" w:fill="FFFFFF"/>
          </w:tcPr>
          <w:p w14:paraId="06402AA0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6AFF5E5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792DC2" w14:textId="77777777" w:rsidR="00966016" w:rsidRPr="00951092" w:rsidRDefault="00966016" w:rsidP="00FA2E0D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951092">
              <w:rPr>
                <w:rFonts w:ascii="Arial" w:hAnsi="Arial" w:cs="Arial"/>
                <w:sz w:val="18"/>
                <w:szCs w:val="18"/>
              </w:rPr>
              <w:t xml:space="preserve">Поверхность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EDD1D9A" w14:textId="77777777" w:rsidR="00966016" w:rsidRPr="00951092" w:rsidRDefault="00966016" w:rsidP="00FA2E0D">
            <w:pPr>
              <w:ind w:left="57"/>
              <w:rPr>
                <w:rFonts w:ascii="Arial" w:hAnsi="Arial" w:cs="Arial"/>
                <w:bCs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14:paraId="13C58AA5" w14:textId="252CE3C4" w:rsidR="00966016" w:rsidRPr="00951092" w:rsidRDefault="00966016" w:rsidP="00FA2E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092">
              <w:rPr>
                <w:rFonts w:ascii="Arial" w:hAnsi="Arial" w:cs="Arial"/>
                <w:sz w:val="18"/>
                <w:szCs w:val="18"/>
              </w:rPr>
              <w:t>Гладка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951092">
              <w:rPr>
                <w:rFonts w:ascii="Arial" w:hAnsi="Arial" w:cs="Arial"/>
                <w:sz w:val="18"/>
                <w:szCs w:val="18"/>
              </w:rPr>
              <w:t>, полированная</w:t>
            </w:r>
          </w:p>
        </w:tc>
        <w:tc>
          <w:tcPr>
            <w:tcW w:w="1276" w:type="dxa"/>
            <w:vMerge/>
            <w:shd w:val="clear" w:color="auto" w:fill="FFFFFF"/>
          </w:tcPr>
          <w:p w14:paraId="3B7F9B42" w14:textId="77777777" w:rsidR="00966016" w:rsidRPr="00452A97" w:rsidRDefault="00966016" w:rsidP="00FA2E0D">
            <w:pPr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6016" w:rsidRPr="00336D77" w14:paraId="2004B12A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35C12" w14:textId="3B2B3125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D2368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Винт костный ортопедический, </w:t>
            </w:r>
            <w:proofErr w:type="spellStart"/>
            <w:r w:rsidRPr="00987A15">
              <w:rPr>
                <w:rFonts w:ascii="Arial" w:hAnsi="Arial" w:cs="Arial"/>
                <w:sz w:val="18"/>
                <w:szCs w:val="18"/>
              </w:rPr>
              <w:t>нерассасывающийся</w:t>
            </w:r>
            <w:proofErr w:type="spellEnd"/>
            <w:r w:rsidRPr="00987A15">
              <w:rPr>
                <w:rFonts w:ascii="Arial" w:hAnsi="Arial" w:cs="Arial"/>
                <w:sz w:val="18"/>
                <w:szCs w:val="18"/>
              </w:rPr>
              <w:t>, стерильный</w:t>
            </w:r>
          </w:p>
          <w:p w14:paraId="283444AB" w14:textId="0BD62A53" w:rsidR="00966016" w:rsidRPr="00877E51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7E51">
              <w:rPr>
                <w:rFonts w:ascii="Arial" w:hAnsi="Arial" w:cs="Arial"/>
                <w:sz w:val="18"/>
                <w:szCs w:val="18"/>
                <w:lang w:val="en-US"/>
              </w:rPr>
              <w:t xml:space="preserve">Acetabular Cup Locking Screw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1F92" w14:textId="77777777" w:rsidR="00966016" w:rsidRPr="00987A15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20DF" w14:textId="77777777" w:rsidR="00966016" w:rsidRPr="00987A15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4D62A" w14:textId="77777777" w:rsidR="00966016" w:rsidRPr="00987A15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8EA37" w14:textId="77777777" w:rsidR="00966016" w:rsidRPr="00987A15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color w:val="334059"/>
                <w:sz w:val="18"/>
                <w:szCs w:val="18"/>
                <w:shd w:val="clear" w:color="auto" w:fill="FFFFFF"/>
              </w:rPr>
              <w:t>"</w:t>
            </w:r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Небольшой стерильный стержень с резьбой и со шлицованной головкой, как правило, используемый для внутренней ортопедической фиксации переломов путем ввинчивания в кость для удерживания пластинок или штифтов в кости или для обеспечения прямой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интерфрагментарной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стабилизации кости, а также прикрепления мягких ткани к кости; он изготавливается из материала, который химически не деградирует и не рассасывается в результате естественных процессов организма (включая такие металлы, пригодные для имплантации, как хирургическая сталь, титановый сплав или углеродное волокно). Выпускается в нескольких разновидностях: кортикальный,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спонгиозный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лодыжечный, ладьевидный, с частичной резьбой и с полной резьбой,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саморезный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канюлированный</w:t>
            </w:r>
            <w:proofErr w:type="spellEnd"/>
            <w:r w:rsidRPr="008061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Любой из них может быть «стягивающим винтом» и использоваться для достижения компрессии между фрагментами кости."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09C1E" w14:textId="77777777" w:rsidR="00966016" w:rsidRPr="00987A15" w:rsidRDefault="00966016" w:rsidP="00D6049F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 xml:space="preserve">Штук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1F65A" w14:textId="77777777" w:rsidR="00966016" w:rsidRPr="00336D77" w:rsidRDefault="00966016" w:rsidP="00D6049F">
            <w:pPr>
              <w:spacing w:line="256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val="en-US" w:eastAsia="en-US"/>
              </w:rPr>
              <w:t>3</w:t>
            </w:r>
          </w:p>
        </w:tc>
      </w:tr>
      <w:tr w:rsidR="00966016" w:rsidRPr="00987A15" w14:paraId="31EC11B0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D6342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0B127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F604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D0EB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9C90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2E4E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>Титановый сплав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22529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85CC7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4303C4B7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F6D25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752D4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56DF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8A45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Диаметр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4A38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Миллиметр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AEEF5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6,0 мм.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EC29B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CBF4C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48053CD2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E6EEF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041E1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2762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FC1DA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 xml:space="preserve">Длина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AD92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</w:rPr>
            </w:pPr>
            <w:r w:rsidRPr="00987A15">
              <w:rPr>
                <w:rFonts w:ascii="Arial" w:hAnsi="Arial" w:cs="Arial"/>
                <w:sz w:val="18"/>
                <w:szCs w:val="18"/>
              </w:rPr>
              <w:t xml:space="preserve">Миллиметр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BB106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kern w:val="1"/>
                <w:sz w:val="18"/>
                <w:szCs w:val="18"/>
              </w:rPr>
              <w:t>В диапазоне от 15 до 60 с шагом в 1 мм.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6AD14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AA5BE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  <w:tr w:rsidR="00966016" w:rsidRPr="00987A15" w14:paraId="176C9DA0" w14:textId="77777777" w:rsidTr="00877E5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B131E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DC3DB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F8C70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837A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Размерность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8A2E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Штук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DCA8" w14:textId="77777777" w:rsidR="00966016" w:rsidRPr="00987A15" w:rsidRDefault="00966016" w:rsidP="00D6049F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87A15">
              <w:rPr>
                <w:rFonts w:ascii="Arial" w:hAnsi="Arial" w:cs="Arial"/>
                <w:sz w:val="18"/>
                <w:szCs w:val="18"/>
                <w:lang w:eastAsia="en-GB"/>
              </w:rPr>
              <w:t>Не менее 46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67244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A7BD0" w14:textId="77777777" w:rsidR="00966016" w:rsidRPr="00987A15" w:rsidRDefault="00966016" w:rsidP="00D6049F">
            <w:pPr>
              <w:spacing w:line="25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</w:rPr>
            </w:pPr>
          </w:p>
        </w:tc>
      </w:tr>
    </w:tbl>
    <w:p w14:paraId="6C4542CE" w14:textId="77777777" w:rsidR="005E1043" w:rsidRDefault="005E1043" w:rsidP="00D6049F"/>
    <w:p w14:paraId="3626AFCB" w14:textId="3BD13323" w:rsidR="004D07D4" w:rsidRDefault="004D07D4" w:rsidP="00D6049F"/>
    <w:sectPr w:rsidR="004D07D4" w:rsidSect="00E9527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20"/>
    <w:rsid w:val="000218B4"/>
    <w:rsid w:val="000448D9"/>
    <w:rsid w:val="000A30CA"/>
    <w:rsid w:val="00103593"/>
    <w:rsid w:val="00142F2C"/>
    <w:rsid w:val="00172884"/>
    <w:rsid w:val="00253DCD"/>
    <w:rsid w:val="00294C52"/>
    <w:rsid w:val="00295183"/>
    <w:rsid w:val="002B0DC2"/>
    <w:rsid w:val="003252D9"/>
    <w:rsid w:val="00336D77"/>
    <w:rsid w:val="00337B08"/>
    <w:rsid w:val="0034790B"/>
    <w:rsid w:val="00352739"/>
    <w:rsid w:val="00393AC8"/>
    <w:rsid w:val="00395E34"/>
    <w:rsid w:val="00426977"/>
    <w:rsid w:val="004277AC"/>
    <w:rsid w:val="00442E33"/>
    <w:rsid w:val="004722D9"/>
    <w:rsid w:val="00474261"/>
    <w:rsid w:val="004B52D0"/>
    <w:rsid w:val="004D07D4"/>
    <w:rsid w:val="004D1E3E"/>
    <w:rsid w:val="004E4A2F"/>
    <w:rsid w:val="0051746D"/>
    <w:rsid w:val="0053189B"/>
    <w:rsid w:val="00565849"/>
    <w:rsid w:val="00574DD5"/>
    <w:rsid w:val="0059409D"/>
    <w:rsid w:val="005D2895"/>
    <w:rsid w:val="005E1043"/>
    <w:rsid w:val="005F4D8B"/>
    <w:rsid w:val="00663D7D"/>
    <w:rsid w:val="00687A58"/>
    <w:rsid w:val="006B6970"/>
    <w:rsid w:val="00711017"/>
    <w:rsid w:val="00732B73"/>
    <w:rsid w:val="0076019C"/>
    <w:rsid w:val="00785808"/>
    <w:rsid w:val="007B46E5"/>
    <w:rsid w:val="0080613B"/>
    <w:rsid w:val="0081559F"/>
    <w:rsid w:val="00877E51"/>
    <w:rsid w:val="00893247"/>
    <w:rsid w:val="008E1643"/>
    <w:rsid w:val="008F0980"/>
    <w:rsid w:val="00966016"/>
    <w:rsid w:val="009A2EF8"/>
    <w:rsid w:val="009A4F4D"/>
    <w:rsid w:val="009C05E8"/>
    <w:rsid w:val="00A1613E"/>
    <w:rsid w:val="00A20A0D"/>
    <w:rsid w:val="00A2373E"/>
    <w:rsid w:val="00A43234"/>
    <w:rsid w:val="00A55079"/>
    <w:rsid w:val="00AB6F0F"/>
    <w:rsid w:val="00AF7AE9"/>
    <w:rsid w:val="00B63620"/>
    <w:rsid w:val="00B95EAD"/>
    <w:rsid w:val="00BA4CD2"/>
    <w:rsid w:val="00BB234C"/>
    <w:rsid w:val="00BC76E0"/>
    <w:rsid w:val="00C37CF2"/>
    <w:rsid w:val="00C77656"/>
    <w:rsid w:val="00C864F8"/>
    <w:rsid w:val="00CC2B80"/>
    <w:rsid w:val="00CF31E8"/>
    <w:rsid w:val="00CF35BB"/>
    <w:rsid w:val="00D36F5D"/>
    <w:rsid w:val="00D6049F"/>
    <w:rsid w:val="00E51DBD"/>
    <w:rsid w:val="00E65803"/>
    <w:rsid w:val="00E66865"/>
    <w:rsid w:val="00E77071"/>
    <w:rsid w:val="00E95272"/>
    <w:rsid w:val="00EC2120"/>
    <w:rsid w:val="00F90AA1"/>
    <w:rsid w:val="00FA2E0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804B"/>
  <w15:chartTrackingRefBased/>
  <w15:docId w15:val="{A6F3C0AC-F05D-4D82-84B7-0394931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5244-FBCE-4172-BA34-0EB52CA6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Нанкина Ирина Анатольевна</dc:creator>
  <cp:keywords/>
  <dc:description/>
  <cp:lastModifiedBy>user</cp:lastModifiedBy>
  <cp:revision>7</cp:revision>
  <dcterms:created xsi:type="dcterms:W3CDTF">2024-09-05T03:05:00Z</dcterms:created>
  <dcterms:modified xsi:type="dcterms:W3CDTF">2024-10-07T08:35:00Z</dcterms:modified>
</cp:coreProperties>
</file>