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AA" w:rsidRDefault="000B00AA" w:rsidP="005835CF">
      <w:pPr>
        <w:jc w:val="center"/>
      </w:pPr>
    </w:p>
    <w:p w:rsidR="0019793E" w:rsidRPr="00A32DD8" w:rsidRDefault="0019793E" w:rsidP="0019793E">
      <w:pPr>
        <w:jc w:val="center"/>
        <w:rPr>
          <w:rFonts w:eastAsia="Calibri"/>
          <w:b/>
        </w:rPr>
      </w:pPr>
      <w:r w:rsidRPr="00A32DD8">
        <w:rPr>
          <w:rFonts w:eastAsia="Calibri"/>
          <w:b/>
        </w:rPr>
        <w:t>Техническое задание к закупке №</w:t>
      </w:r>
      <w:r w:rsidR="002F7BDE">
        <w:rPr>
          <w:rFonts w:eastAsia="Calibri"/>
          <w:b/>
        </w:rPr>
        <w:t>24060205041</w:t>
      </w:r>
      <w:bookmarkStart w:id="0" w:name="_GoBack"/>
      <w:bookmarkEnd w:id="0"/>
    </w:p>
    <w:p w:rsidR="0019793E" w:rsidRDefault="0019793E" w:rsidP="0019793E">
      <w:pPr>
        <w:jc w:val="center"/>
        <w:rPr>
          <w:b/>
        </w:rPr>
      </w:pPr>
      <w:r w:rsidRPr="00A32DD8">
        <w:rPr>
          <w:rFonts w:eastAsia="Calibri"/>
          <w:b/>
        </w:rPr>
        <w:t xml:space="preserve">на поставку </w:t>
      </w:r>
      <w:r w:rsidRPr="006028B0">
        <w:rPr>
          <w:b/>
        </w:rPr>
        <w:t>расходны</w:t>
      </w:r>
      <w:r>
        <w:rPr>
          <w:b/>
        </w:rPr>
        <w:t>х</w:t>
      </w:r>
      <w:r w:rsidRPr="006028B0">
        <w:rPr>
          <w:b/>
        </w:rPr>
        <w:t xml:space="preserve"> медицински</w:t>
      </w:r>
      <w:r>
        <w:rPr>
          <w:b/>
        </w:rPr>
        <w:t>х материалов</w:t>
      </w:r>
      <w:r w:rsidRPr="006028B0">
        <w:rPr>
          <w:b/>
        </w:rPr>
        <w:t xml:space="preserve"> </w:t>
      </w:r>
    </w:p>
    <w:p w:rsidR="0019793E" w:rsidRPr="006028B0" w:rsidRDefault="0019793E" w:rsidP="0019793E">
      <w:pPr>
        <w:jc w:val="center"/>
        <w:rPr>
          <w:rFonts w:eastAsia="Calibri"/>
          <w:b/>
        </w:rPr>
      </w:pPr>
      <w:r w:rsidRPr="00A32DD8">
        <w:rPr>
          <w:rFonts w:eastAsia="Calibri"/>
          <w:b/>
        </w:rPr>
        <w:t>для нужд ЧУЗ «Клиническая боль</w:t>
      </w:r>
      <w:r>
        <w:rPr>
          <w:rFonts w:eastAsia="Calibri"/>
          <w:b/>
        </w:rPr>
        <w:t>ница «РЖД-Медицина» г. Оренбург»</w:t>
      </w:r>
    </w:p>
    <w:p w:rsidR="005835CF" w:rsidRDefault="005835CF"/>
    <w:tbl>
      <w:tblPr>
        <w:tblStyle w:val="a3"/>
        <w:tblW w:w="1084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828"/>
        <w:gridCol w:w="2699"/>
        <w:gridCol w:w="5512"/>
        <w:gridCol w:w="1080"/>
        <w:gridCol w:w="725"/>
      </w:tblGrid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 w:rsidP="000A5649">
            <w:pPr>
              <w:jc w:val="center"/>
              <w:rPr>
                <w:b/>
                <w:sz w:val="18"/>
                <w:szCs w:val="18"/>
              </w:rPr>
            </w:pPr>
            <w:r w:rsidRPr="002A427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A4273">
              <w:rPr>
                <w:b/>
                <w:sz w:val="18"/>
                <w:szCs w:val="18"/>
              </w:rPr>
              <w:t>п</w:t>
            </w:r>
            <w:proofErr w:type="gramEnd"/>
            <w:r w:rsidRPr="002A427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Pr="002A4273" w:rsidRDefault="007D492B" w:rsidP="000A5649">
            <w:pPr>
              <w:jc w:val="center"/>
              <w:rPr>
                <w:b/>
                <w:sz w:val="18"/>
                <w:szCs w:val="18"/>
              </w:rPr>
            </w:pPr>
            <w:r w:rsidRPr="002A4273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товара</w:t>
            </w: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0A5649">
            <w:pPr>
              <w:jc w:val="center"/>
              <w:rPr>
                <w:b/>
                <w:sz w:val="18"/>
                <w:szCs w:val="18"/>
              </w:rPr>
            </w:pPr>
            <w:r w:rsidRPr="002A4273">
              <w:rPr>
                <w:b/>
                <w:sz w:val="18"/>
                <w:szCs w:val="18"/>
              </w:rPr>
              <w:t xml:space="preserve">Технические характеристики </w:t>
            </w:r>
            <w:r>
              <w:rPr>
                <w:b/>
                <w:sz w:val="18"/>
                <w:szCs w:val="18"/>
              </w:rPr>
              <w:t>товара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jc w:val="center"/>
              <w:rPr>
                <w:b/>
                <w:sz w:val="18"/>
                <w:szCs w:val="18"/>
              </w:rPr>
            </w:pPr>
            <w:r w:rsidRPr="002A4273">
              <w:rPr>
                <w:b/>
                <w:sz w:val="18"/>
                <w:szCs w:val="18"/>
              </w:rPr>
              <w:t>Ед. изм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 w:rsidP="000A564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A4273">
              <w:rPr>
                <w:b/>
                <w:sz w:val="18"/>
                <w:szCs w:val="18"/>
              </w:rPr>
              <w:t>Колво</w:t>
            </w:r>
            <w:proofErr w:type="spellEnd"/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форменных элементов крови</w:t>
            </w: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723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должен быть предназначен для окрашивания форменных элементов крови. Один литр красителя должен быть рассчитан на окрашивание не менее 6 тысяч мазков крови при разведении красителя не менее чем в 20 раз. Раствор </w:t>
            </w:r>
            <w:proofErr w:type="spellStart"/>
            <w:r>
              <w:rPr>
                <w:sz w:val="18"/>
                <w:szCs w:val="18"/>
              </w:rPr>
              <w:t>азурэозина</w:t>
            </w:r>
            <w:proofErr w:type="spellEnd"/>
            <w:r>
              <w:rPr>
                <w:sz w:val="18"/>
                <w:szCs w:val="18"/>
              </w:rPr>
              <w:t xml:space="preserve"> в смеси метанола и глицерина с концентрацией не менее 0,76%,  не менее 1 л.  Концентрированный раствор фосфатного буфера, не менее 10 мл.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иммерсионное </w:t>
            </w: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723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преломления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не более 1,5. Коэффициент пропускания при толщине слоя 10 мм: в спектральном диапазоне от 500 до 720 нм не менее 60%; в спектральном диапазоне от 400 до 480 нм не менее 43% Вязкость кинематическая не менее 800 </w:t>
            </w:r>
            <w:proofErr w:type="spellStart"/>
            <w:r>
              <w:rPr>
                <w:sz w:val="18"/>
                <w:szCs w:val="18"/>
              </w:rPr>
              <w:t>сСт</w:t>
            </w:r>
            <w:proofErr w:type="spellEnd"/>
            <w:r>
              <w:rPr>
                <w:sz w:val="18"/>
                <w:szCs w:val="18"/>
              </w:rPr>
              <w:t>. Объём не менее 100 мл. Температура хранения в пределах диапазона минимальное значение не более 18 градусов Цельсия максимальное значение не менее 25 градусов Цельсия. Срок годности не менее 24 месяцев.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 w:rsidP="00805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форменных элементов крови</w:t>
            </w: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E64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содержит метиловый синий индикатор краситель не менее 125мл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Каждая упаковка должна иметь этикетку и инструкцию на русском языке.  Объём: не менее 125мл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 w:rsidP="00805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форменных элементов крови</w:t>
            </w:r>
          </w:p>
          <w:p w:rsidR="007D492B" w:rsidRPr="002A4273" w:rsidRDefault="007D492B" w:rsidP="008C153C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8C153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Кислота сульфосалициловая 2водная не менее 24,0 г не менее 1 банки; натрий сернокислый не менее 56,0 г не менее 1 банки; калибровочный  раствор  альбумина  калибратор не менее 2 мл не менее  1 фл.; Фенол  не менее  2,3 г не менее 1 фл.; Аммоний сернокислый не менее 51,0 г не менее 1 банки;</w:t>
            </w:r>
            <w:proofErr w:type="gramEnd"/>
            <w:r>
              <w:rPr>
                <w:sz w:val="18"/>
                <w:szCs w:val="18"/>
              </w:rPr>
              <w:t xml:space="preserve"> Концентрат реактива Самсона не менее 2,6 г. 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 w:rsidP="00805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форменных элементов крови</w:t>
            </w: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723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Генциан фиолетовый не менее 20мл, щавелевокислый аммоний не менее 80мл, раствор йода не менее 100мл, раствор для обесцвечивания не менее 100мл, сафранин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 не менее 100мл. Набор рассчитан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не менее 400 определений.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 w:rsidP="00805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форменных элементов крови</w:t>
            </w: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8C1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Должен быть предназначен для окраски кислотоустойчивых микроорганизмов. Набор должен обеспечивать проведение не менее 200 исследований при расходе не более 0,5 мл реагента на одно исследование. Карболовый фуксин </w:t>
            </w:r>
            <w:proofErr w:type="spellStart"/>
            <w:r>
              <w:rPr>
                <w:sz w:val="18"/>
                <w:szCs w:val="18"/>
              </w:rPr>
              <w:t>Циля</w:t>
            </w:r>
            <w:proofErr w:type="spellEnd"/>
            <w:r>
              <w:rPr>
                <w:sz w:val="18"/>
                <w:szCs w:val="18"/>
              </w:rPr>
              <w:t xml:space="preserve">  не менее 100 мл; солянокислый спирт концентрат  не менее 10 мл; метиленовый синий  не менее 100 мл. Кислотоустойчивые бактерии и простейшие должны окрашиваться в красный цвет на общем голубом или синем фоне.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реагентов для клинического анализа кала</w:t>
            </w: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251B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должен быть рассчитан на анализ не менее 1000 проб для обнаружения скрытой крови, не менее 50 проб  для качественного определения стеркобилина, не менее 200 проб  для качественного определения билирубина и не менее 2000 проб  для определения микроскопического анализа кала. </w:t>
            </w:r>
            <w:proofErr w:type="spellStart"/>
            <w:r>
              <w:rPr>
                <w:sz w:val="18"/>
                <w:szCs w:val="18"/>
              </w:rPr>
              <w:t>Бензидин</w:t>
            </w:r>
            <w:proofErr w:type="spellEnd"/>
            <w:r>
              <w:rPr>
                <w:sz w:val="18"/>
                <w:szCs w:val="18"/>
              </w:rPr>
              <w:t xml:space="preserve">  не менее 1 фл. не менее 1,0 г; Кислота уксусная, не менее 50%  не менее 1 фл. не менее 100 мл; </w:t>
            </w:r>
            <w:proofErr w:type="spellStart"/>
            <w:r>
              <w:rPr>
                <w:sz w:val="18"/>
                <w:szCs w:val="18"/>
              </w:rPr>
              <w:t>гидроперит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таблетированная</w:t>
            </w:r>
            <w:proofErr w:type="spellEnd"/>
            <w:r>
              <w:rPr>
                <w:sz w:val="18"/>
                <w:szCs w:val="18"/>
              </w:rPr>
              <w:t xml:space="preserve"> форма  не менее 1 упаковка не менее 6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; цинк уксуснокислый, не менее 100 грамм на литр  не менее  100 мл; </w:t>
            </w:r>
            <w:proofErr w:type="gramStart"/>
            <w:r>
              <w:rPr>
                <w:sz w:val="18"/>
                <w:szCs w:val="18"/>
              </w:rPr>
              <w:t xml:space="preserve">раствор Люголя  не менее 1 фл. не менее 50 мл;. Реактив </w:t>
            </w:r>
            <w:proofErr w:type="spellStart"/>
            <w:r>
              <w:rPr>
                <w:sz w:val="18"/>
                <w:szCs w:val="18"/>
              </w:rPr>
              <w:t>Фуше</w:t>
            </w:r>
            <w:proofErr w:type="spellEnd"/>
            <w:r>
              <w:rPr>
                <w:sz w:val="18"/>
                <w:szCs w:val="18"/>
              </w:rPr>
              <w:t xml:space="preserve">  не менее 1 фл. не менее 100 мл; Кислота уксусная, не менее 30%  не менее 1 фл. не менее 100 мл; Судан III, не менее 2%  не менее  1 фл. не менее 100 мл; Метиленовый синий не менее 2%  не менее 1 фл. не менее 25 мл;</w:t>
            </w:r>
            <w:proofErr w:type="gramEnd"/>
            <w:r>
              <w:rPr>
                <w:sz w:val="18"/>
                <w:szCs w:val="18"/>
              </w:rPr>
              <w:t xml:space="preserve"> Глицерин  не менее 1 фл. не менее 130 г. 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 w:rsidP="00805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форменных элементов крови</w:t>
            </w: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51BD4" w:rsidRDefault="007D492B" w:rsidP="00251BD4">
            <w:pPr>
              <w:jc w:val="both"/>
              <w:rPr>
                <w:sz w:val="18"/>
                <w:szCs w:val="18"/>
              </w:rPr>
            </w:pPr>
            <w:r w:rsidRPr="00251BD4">
              <w:rPr>
                <w:sz w:val="18"/>
                <w:szCs w:val="18"/>
              </w:rPr>
              <w:t xml:space="preserve">Раствор должен быть предназначен для окраски ретикулоцитов. В мазке ретикулоциты и эритроциты должны быть окрашены в предпочтительно </w:t>
            </w:r>
            <w:proofErr w:type="spellStart"/>
            <w:r w:rsidRPr="00251BD4">
              <w:rPr>
                <w:sz w:val="18"/>
                <w:szCs w:val="18"/>
              </w:rPr>
              <w:t>желтоватозеленоватый</w:t>
            </w:r>
            <w:proofErr w:type="spellEnd"/>
            <w:r w:rsidRPr="00251BD4">
              <w:rPr>
                <w:sz w:val="18"/>
                <w:szCs w:val="18"/>
              </w:rPr>
              <w:t xml:space="preserve"> цвет, </w:t>
            </w:r>
            <w:proofErr w:type="spellStart"/>
            <w:r w:rsidRPr="00251BD4">
              <w:rPr>
                <w:sz w:val="18"/>
                <w:szCs w:val="18"/>
              </w:rPr>
              <w:t>зернистонитчатая</w:t>
            </w:r>
            <w:proofErr w:type="spellEnd"/>
            <w:r w:rsidRPr="00251BD4">
              <w:rPr>
                <w:sz w:val="18"/>
                <w:szCs w:val="18"/>
              </w:rPr>
              <w:t xml:space="preserve"> субстанция в </w:t>
            </w:r>
            <w:proofErr w:type="spellStart"/>
            <w:r w:rsidRPr="00251BD4">
              <w:rPr>
                <w:sz w:val="18"/>
                <w:szCs w:val="18"/>
              </w:rPr>
              <w:t>ретикулоцитах</w:t>
            </w:r>
            <w:proofErr w:type="spellEnd"/>
            <w:r w:rsidRPr="00251BD4">
              <w:rPr>
                <w:sz w:val="18"/>
                <w:szCs w:val="18"/>
              </w:rPr>
              <w:t xml:space="preserve">  в предпочтительно синий цвет. Использование при </w:t>
            </w:r>
            <w:proofErr w:type="spellStart"/>
            <w:r w:rsidRPr="00251BD4">
              <w:rPr>
                <w:sz w:val="18"/>
                <w:szCs w:val="18"/>
              </w:rPr>
              <w:t>суправитальном</w:t>
            </w:r>
            <w:proofErr w:type="spellEnd"/>
            <w:r w:rsidRPr="00251BD4">
              <w:rPr>
                <w:sz w:val="18"/>
                <w:szCs w:val="18"/>
              </w:rPr>
              <w:t xml:space="preserve"> пробирочном методе наличие. </w:t>
            </w:r>
            <w:r w:rsidRPr="00251BD4">
              <w:rPr>
                <w:sz w:val="18"/>
                <w:szCs w:val="18"/>
                <w:shd w:val="clear" w:color="auto" w:fill="FFFFFF"/>
              </w:rPr>
              <w:t xml:space="preserve">Раствор представляет собой 1% раствор сухого </w:t>
            </w:r>
            <w:proofErr w:type="spellStart"/>
            <w:r w:rsidRPr="00251BD4">
              <w:rPr>
                <w:sz w:val="18"/>
                <w:szCs w:val="18"/>
                <w:shd w:val="clear" w:color="auto" w:fill="FFFFFF"/>
              </w:rPr>
              <w:t>крезилового</w:t>
            </w:r>
            <w:proofErr w:type="spellEnd"/>
            <w:r w:rsidRPr="00251BD4">
              <w:rPr>
                <w:sz w:val="18"/>
                <w:szCs w:val="18"/>
                <w:shd w:val="clear" w:color="auto" w:fill="FFFFFF"/>
              </w:rPr>
              <w:t xml:space="preserve"> красителя в не менее 0.9% растворе </w:t>
            </w:r>
            <w:proofErr w:type="spellStart"/>
            <w:r w:rsidRPr="00251BD4">
              <w:rPr>
                <w:sz w:val="18"/>
                <w:szCs w:val="18"/>
                <w:shd w:val="clear" w:color="auto" w:fill="FFFFFF"/>
                <w:lang w:val="en-US"/>
              </w:rPr>
              <w:t>NaCl</w:t>
            </w:r>
            <w:proofErr w:type="spellEnd"/>
            <w:r w:rsidRPr="00251BD4">
              <w:rPr>
                <w:sz w:val="18"/>
                <w:szCs w:val="18"/>
                <w:shd w:val="clear" w:color="auto" w:fill="FFFFFF"/>
              </w:rPr>
              <w:t xml:space="preserve">. </w:t>
            </w:r>
            <w:r w:rsidRPr="00251BD4">
              <w:rPr>
                <w:sz w:val="18"/>
                <w:szCs w:val="18"/>
              </w:rPr>
              <w:t>Объём 1 пластиковая упаковка  не менее 50мл,  не менее 500 определений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492B" w:rsidRPr="002A4273" w:rsidTr="0019793E">
        <w:tc>
          <w:tcPr>
            <w:tcW w:w="828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9" w:type="dxa"/>
            <w:shd w:val="clear" w:color="auto" w:fill="FFFFFF" w:themeFill="background1"/>
          </w:tcPr>
          <w:p w:rsidR="007D492B" w:rsidRDefault="007D492B" w:rsidP="00805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фиксатор форменных элементов крови</w:t>
            </w: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Default="007D492B">
            <w:pPr>
              <w:rPr>
                <w:sz w:val="18"/>
                <w:szCs w:val="18"/>
              </w:rPr>
            </w:pPr>
          </w:p>
          <w:p w:rsidR="007D492B" w:rsidRPr="002A4273" w:rsidRDefault="007D492B">
            <w:pPr>
              <w:rPr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FFFFFF" w:themeFill="background1"/>
          </w:tcPr>
          <w:p w:rsidR="007D492B" w:rsidRPr="002A4273" w:rsidRDefault="007D492B" w:rsidP="00723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Краситель для дифференцировки клеток в мазках человеческой периферической крови и костного мозга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Время окрашивания не более 15 минут. Эозин метиленовый синий не менее 2,7 г/л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метанол не менее 99,9%. Объём не менее 1 л.</w:t>
            </w:r>
          </w:p>
        </w:tc>
        <w:tc>
          <w:tcPr>
            <w:tcW w:w="1080" w:type="dxa"/>
            <w:shd w:val="clear" w:color="auto" w:fill="FFFFFF" w:themeFill="background1"/>
          </w:tcPr>
          <w:p w:rsidR="007D492B" w:rsidRPr="002A4273" w:rsidRDefault="007D492B" w:rsidP="0072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725" w:type="dxa"/>
            <w:shd w:val="clear" w:color="auto" w:fill="FFFFFF" w:themeFill="background1"/>
          </w:tcPr>
          <w:p w:rsidR="007D492B" w:rsidRPr="002A4273" w:rsidRDefault="007D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7D0B0C" w:rsidRDefault="007D0B0C" w:rsidP="00236EF0">
      <w:pPr>
        <w:jc w:val="right"/>
      </w:pPr>
    </w:p>
    <w:p w:rsidR="0019793E" w:rsidRDefault="0019793E" w:rsidP="00236EF0">
      <w:pPr>
        <w:jc w:val="right"/>
      </w:pPr>
    </w:p>
    <w:p w:rsidR="0019793E" w:rsidRPr="008948BB" w:rsidRDefault="0019793E" w:rsidP="0019793E">
      <w:pPr>
        <w:jc w:val="center"/>
        <w:rPr>
          <w:b/>
          <w:sz w:val="28"/>
          <w:szCs w:val="28"/>
        </w:rPr>
      </w:pPr>
      <w:r w:rsidRPr="008948BB">
        <w:rPr>
          <w:b/>
          <w:sz w:val="28"/>
          <w:szCs w:val="28"/>
        </w:rPr>
        <w:lastRenderedPageBreak/>
        <w:t>Условия закупки</w:t>
      </w:r>
    </w:p>
    <w:p w:rsidR="0019793E" w:rsidRPr="008948BB" w:rsidRDefault="0019793E" w:rsidP="0019793E">
      <w:pPr>
        <w:rPr>
          <w:rFonts w:ascii="Arial Narrow" w:hAnsi="Arial Narrow" w:cs="Arial"/>
        </w:rPr>
      </w:pPr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4"/>
        <w:gridCol w:w="3859"/>
        <w:gridCol w:w="5667"/>
      </w:tblGrid>
      <w:tr w:rsidR="0019793E" w:rsidRPr="008948BB" w:rsidTr="00880F37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b/>
                <w:bCs/>
                <w:lang w:eastAsia="zh-CN"/>
              </w:rPr>
            </w:pPr>
            <w:r w:rsidRPr="008948BB">
              <w:rPr>
                <w:b/>
                <w:bCs/>
                <w:sz w:val="20"/>
                <w:szCs w:val="20"/>
                <w:lang w:eastAsia="zh-CN"/>
              </w:rPr>
              <w:t>№ п\</w:t>
            </w:r>
            <w:proofErr w:type="gramStart"/>
            <w:r w:rsidRPr="008948BB">
              <w:rPr>
                <w:b/>
                <w:bCs/>
                <w:sz w:val="20"/>
                <w:szCs w:val="20"/>
                <w:lang w:eastAsia="zh-CN"/>
              </w:rPr>
              <w:t>п</w:t>
            </w:r>
            <w:proofErr w:type="gram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b/>
                <w:bCs/>
                <w:lang w:eastAsia="zh-CN"/>
              </w:rPr>
            </w:pPr>
            <w:r w:rsidRPr="008948BB">
              <w:rPr>
                <w:b/>
                <w:bCs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b/>
                <w:bCs/>
                <w:lang w:eastAsia="zh-CN"/>
              </w:rPr>
            </w:pPr>
            <w:r w:rsidRPr="008948BB">
              <w:rPr>
                <w:b/>
                <w:bCs/>
                <w:sz w:val="20"/>
                <w:szCs w:val="20"/>
                <w:lang w:eastAsia="zh-CN"/>
              </w:rPr>
              <w:t>Данные закупки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shd w:val="clear" w:color="auto" w:fill="FFFF00"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Начально максимальная цена договора, порядок формирования цены: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19793E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41 265</w:t>
            </w:r>
            <w:r w:rsidRPr="008948BB">
              <w:rPr>
                <w:sz w:val="20"/>
                <w:szCs w:val="20"/>
                <w:lang w:eastAsia="zh-CN"/>
              </w:rPr>
              <w:t xml:space="preserve"> (</w:t>
            </w:r>
            <w:r>
              <w:rPr>
                <w:sz w:val="20"/>
                <w:szCs w:val="20"/>
                <w:lang w:eastAsia="zh-CN"/>
              </w:rPr>
              <w:t>сорок одна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8948BB">
              <w:rPr>
                <w:sz w:val="20"/>
                <w:szCs w:val="20"/>
                <w:lang w:eastAsia="zh-CN"/>
              </w:rPr>
              <w:t xml:space="preserve"> тысяч</w:t>
            </w:r>
            <w:r>
              <w:rPr>
                <w:sz w:val="20"/>
                <w:szCs w:val="20"/>
                <w:lang w:eastAsia="zh-CN"/>
              </w:rPr>
              <w:t>а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двести шестьдесят пять</w:t>
            </w:r>
            <w:r>
              <w:rPr>
                <w:sz w:val="20"/>
                <w:szCs w:val="20"/>
                <w:lang w:eastAsia="zh-CN"/>
              </w:rPr>
              <w:t>) рубл</w:t>
            </w:r>
            <w:r>
              <w:rPr>
                <w:sz w:val="20"/>
                <w:szCs w:val="20"/>
                <w:lang w:eastAsia="zh-CN"/>
              </w:rPr>
              <w:t>ей 2</w:t>
            </w:r>
            <w:r w:rsidRPr="008948BB">
              <w:rPr>
                <w:sz w:val="20"/>
                <w:szCs w:val="20"/>
                <w:lang w:eastAsia="zh-CN"/>
              </w:rPr>
              <w:t>0 копеек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2.</w:t>
            </w:r>
          </w:p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Стоимость товара включает: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880F37">
            <w:pPr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Цена единицы товара является фиксированной и изменению в течени</w:t>
            </w:r>
            <w:proofErr w:type="gramStart"/>
            <w:r w:rsidRPr="008948BB">
              <w:rPr>
                <w:sz w:val="20"/>
                <w:szCs w:val="20"/>
                <w:lang w:eastAsia="zh-CN"/>
              </w:rPr>
              <w:t>и</w:t>
            </w:r>
            <w:proofErr w:type="gramEnd"/>
            <w:r w:rsidRPr="008948BB">
              <w:rPr>
                <w:sz w:val="20"/>
                <w:szCs w:val="20"/>
                <w:lang w:eastAsia="zh-CN"/>
              </w:rPr>
              <w:t xml:space="preserve"> срока действия договора не подлежит.</w:t>
            </w:r>
          </w:p>
          <w:p w:rsidR="0019793E" w:rsidRPr="008948BB" w:rsidRDefault="0019793E" w:rsidP="00880F37">
            <w:pPr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Срок поставки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Пункт 1.2 Проекта Договора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Место поставки:</w:t>
            </w:r>
          </w:p>
          <w:p w:rsidR="0019793E" w:rsidRPr="008948BB" w:rsidRDefault="0019793E" w:rsidP="00880F37">
            <w:pPr>
              <w:rPr>
                <w:b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Пункт 1.3 Проекта Договора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Условия оплаты: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Пункт 2.2 Проекта Договора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Требования к качеству товара: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Пункт 5.1 Проекта Договора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Требования к упаковке:</w:t>
            </w:r>
          </w:p>
          <w:p w:rsidR="0019793E" w:rsidRPr="008948BB" w:rsidRDefault="0019793E" w:rsidP="00880F37">
            <w:pPr>
              <w:rPr>
                <w:b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880F37">
            <w:pPr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Поставка Товара должна осуществляться в оригинальной заводской упаковке, обеспечивающей его сохранность. Упаковка должна обеспечивать защиту от воздействия механических, химических и климатических факторов во время транспортирования и хранения поставляемого Товара.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Ценовое предложение должно содержать: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1) Заявку  с информацией указанной в Рекомендуемой форме (Приложение №1 Технического задания)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2) Декларацию о соответствии обязательным требованиям.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3)  Копии документов подтверждающих соответствие участника  и соответствие товара требованиям законодательства РФ.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4) -Наименование товара,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-Наименование организации-изготовителя,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-Страна происхождения,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-Артикул, либо тип оборудования (при наличии),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 xml:space="preserve">-Описание характеристик </w:t>
            </w:r>
            <w:proofErr w:type="gramStart"/>
            <w:r w:rsidRPr="008948BB">
              <w:rPr>
                <w:sz w:val="20"/>
                <w:szCs w:val="20"/>
                <w:lang w:eastAsia="zh-CN"/>
              </w:rPr>
              <w:t>согласно</w:t>
            </w:r>
            <w:proofErr w:type="gramEnd"/>
            <w:r w:rsidRPr="008948BB">
              <w:rPr>
                <w:sz w:val="20"/>
                <w:szCs w:val="20"/>
                <w:lang w:eastAsia="zh-CN"/>
              </w:rPr>
              <w:t xml:space="preserve"> технического задания с определенными показателями (не допускающими двойного толкования),</w:t>
            </w:r>
          </w:p>
          <w:p w:rsidR="0019793E" w:rsidRPr="008948BB" w:rsidRDefault="0019793E" w:rsidP="00880F37">
            <w:pPr>
              <w:rPr>
                <w:sz w:val="20"/>
                <w:szCs w:val="20"/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 xml:space="preserve">-Единицу измерения и количество </w:t>
            </w:r>
            <w:proofErr w:type="gramStart"/>
            <w:r w:rsidRPr="008948BB">
              <w:rPr>
                <w:sz w:val="20"/>
                <w:szCs w:val="20"/>
                <w:lang w:eastAsia="zh-CN"/>
              </w:rPr>
              <w:t>согласно</w:t>
            </w:r>
            <w:proofErr w:type="gramEnd"/>
            <w:r w:rsidRPr="008948BB">
              <w:rPr>
                <w:sz w:val="20"/>
                <w:szCs w:val="20"/>
                <w:lang w:eastAsia="zh-CN"/>
              </w:rPr>
              <w:t xml:space="preserve"> технического задания Покупателя.</w:t>
            </w:r>
          </w:p>
          <w:p w:rsidR="0019793E" w:rsidRPr="008948BB" w:rsidRDefault="0019793E" w:rsidP="00880F37">
            <w:pPr>
              <w:rPr>
                <w:lang w:eastAsia="zh-CN"/>
              </w:rPr>
            </w:pPr>
            <w:r w:rsidRPr="008948BB">
              <w:rPr>
                <w:bCs/>
                <w:sz w:val="20"/>
                <w:szCs w:val="20"/>
                <w:lang w:eastAsia="zh-CN"/>
              </w:rPr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  <w:tr w:rsidR="0019793E" w:rsidRPr="008948BB" w:rsidTr="00880F37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jc w:val="center"/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793E" w:rsidRPr="008948BB" w:rsidRDefault="0019793E" w:rsidP="00880F37">
            <w:pPr>
              <w:rPr>
                <w:b/>
                <w:lang w:eastAsia="zh-CN"/>
              </w:rPr>
            </w:pPr>
            <w:r w:rsidRPr="008948BB">
              <w:rPr>
                <w:b/>
                <w:sz w:val="20"/>
                <w:szCs w:val="20"/>
                <w:lang w:eastAsia="zh-CN"/>
              </w:rPr>
              <w:t>Условия эквивалентности: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3E" w:rsidRPr="008948BB" w:rsidRDefault="0019793E" w:rsidP="00880F37">
            <w:pPr>
              <w:rPr>
                <w:lang w:eastAsia="zh-CN"/>
              </w:rPr>
            </w:pPr>
            <w:r w:rsidRPr="008948BB">
              <w:rPr>
                <w:sz w:val="20"/>
                <w:szCs w:val="20"/>
                <w:lang w:eastAsia="zh-CN"/>
              </w:rPr>
              <w:t>В случае</w:t>
            </w:r>
            <w:proofErr w:type="gramStart"/>
            <w:r w:rsidRPr="008948BB">
              <w:rPr>
                <w:sz w:val="20"/>
                <w:szCs w:val="20"/>
                <w:lang w:eastAsia="zh-CN"/>
              </w:rPr>
              <w:t>,</w:t>
            </w:r>
            <w:proofErr w:type="gramEnd"/>
            <w:r w:rsidRPr="008948BB">
              <w:rPr>
                <w:sz w:val="20"/>
                <w:szCs w:val="20"/>
                <w:lang w:eastAsia="zh-CN"/>
              </w:rPr>
              <w:t xml:space="preserve">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19793E" w:rsidRPr="008948BB" w:rsidRDefault="0019793E" w:rsidP="0019793E">
      <w:pPr>
        <w:rPr>
          <w:bCs/>
          <w:sz w:val="22"/>
          <w:szCs w:val="22"/>
        </w:rPr>
      </w:pPr>
    </w:p>
    <w:p w:rsidR="0019793E" w:rsidRPr="008948BB" w:rsidRDefault="0019793E" w:rsidP="0019793E">
      <w:pPr>
        <w:rPr>
          <w:bCs/>
          <w:sz w:val="22"/>
          <w:szCs w:val="22"/>
        </w:rPr>
      </w:pPr>
    </w:p>
    <w:p w:rsidR="0019793E" w:rsidRPr="008948BB" w:rsidRDefault="0019793E" w:rsidP="0019793E">
      <w:pPr>
        <w:rPr>
          <w:bCs/>
          <w:sz w:val="22"/>
          <w:szCs w:val="22"/>
        </w:rPr>
      </w:pPr>
    </w:p>
    <w:p w:rsidR="0019793E" w:rsidRPr="008948BB" w:rsidRDefault="0019793E" w:rsidP="0019793E">
      <w:pPr>
        <w:rPr>
          <w:bCs/>
          <w:sz w:val="22"/>
          <w:szCs w:val="22"/>
        </w:rPr>
      </w:pPr>
    </w:p>
    <w:p w:rsidR="0019793E" w:rsidRPr="008948BB" w:rsidRDefault="0019793E" w:rsidP="0019793E">
      <w:pPr>
        <w:rPr>
          <w:bCs/>
          <w:sz w:val="22"/>
          <w:szCs w:val="22"/>
        </w:rPr>
      </w:pPr>
    </w:p>
    <w:p w:rsidR="0019793E" w:rsidRPr="008948BB" w:rsidRDefault="0019793E" w:rsidP="0019793E">
      <w:pPr>
        <w:rPr>
          <w:bCs/>
          <w:sz w:val="22"/>
          <w:szCs w:val="22"/>
        </w:rPr>
      </w:pPr>
    </w:p>
    <w:p w:rsidR="0019793E" w:rsidRPr="008948BB" w:rsidRDefault="0019793E" w:rsidP="0019793E">
      <w:pPr>
        <w:ind w:firstLine="567"/>
        <w:jc w:val="right"/>
        <w:rPr>
          <w:rFonts w:eastAsia="Calibri"/>
          <w:b/>
          <w:sz w:val="20"/>
          <w:szCs w:val="20"/>
        </w:rPr>
      </w:pPr>
      <w:r w:rsidRPr="008948BB">
        <w:rPr>
          <w:rFonts w:eastAsia="Calibri"/>
          <w:b/>
          <w:sz w:val="20"/>
          <w:szCs w:val="20"/>
        </w:rPr>
        <w:t>Приложение №1</w:t>
      </w:r>
    </w:p>
    <w:p w:rsidR="0019793E" w:rsidRPr="008948BB" w:rsidRDefault="0019793E" w:rsidP="0019793E">
      <w:pPr>
        <w:ind w:firstLine="567"/>
        <w:jc w:val="center"/>
        <w:rPr>
          <w:rFonts w:eastAsia="Calibri"/>
          <w:b/>
          <w:sz w:val="20"/>
          <w:szCs w:val="20"/>
        </w:rPr>
      </w:pPr>
      <w:r w:rsidRPr="008948BB">
        <w:rPr>
          <w:rFonts w:eastAsia="Calibri"/>
          <w:b/>
          <w:sz w:val="20"/>
          <w:szCs w:val="20"/>
        </w:rPr>
        <w:t>РЕКОМЕДУЕМАЯ ФОРМА ЗАЯВКИ:</w:t>
      </w:r>
    </w:p>
    <w:p w:rsidR="0019793E" w:rsidRPr="008948BB" w:rsidRDefault="0019793E" w:rsidP="0019793E">
      <w:pPr>
        <w:ind w:firstLine="567"/>
        <w:jc w:val="center"/>
        <w:rPr>
          <w:rFonts w:eastAsia="Calibri"/>
          <w:b/>
          <w:sz w:val="20"/>
          <w:szCs w:val="20"/>
        </w:rPr>
      </w:pPr>
    </w:p>
    <w:p w:rsidR="0019793E" w:rsidRPr="008948BB" w:rsidRDefault="0019793E" w:rsidP="0019793E">
      <w:pPr>
        <w:ind w:firstLine="567"/>
        <w:jc w:val="center"/>
        <w:rPr>
          <w:rFonts w:eastAsia="Calibri"/>
          <w:b/>
          <w:sz w:val="20"/>
          <w:szCs w:val="20"/>
        </w:rPr>
      </w:pPr>
    </w:p>
    <w:p w:rsidR="0019793E" w:rsidRPr="008948BB" w:rsidRDefault="0019793E" w:rsidP="0019793E">
      <w:pPr>
        <w:ind w:firstLine="567"/>
        <w:jc w:val="center"/>
        <w:rPr>
          <w:rFonts w:eastAsia="Calibri"/>
          <w:b/>
          <w:sz w:val="20"/>
          <w:szCs w:val="20"/>
        </w:rPr>
      </w:pPr>
      <w:r w:rsidRPr="008948BB">
        <w:rPr>
          <w:rFonts w:eastAsia="Calibri"/>
          <w:b/>
          <w:sz w:val="20"/>
          <w:szCs w:val="20"/>
        </w:rPr>
        <w:t>Заявку на закупку №_____________</w:t>
      </w:r>
    </w:p>
    <w:p w:rsidR="0019793E" w:rsidRPr="008948BB" w:rsidRDefault="0019793E" w:rsidP="0019793E">
      <w:pPr>
        <w:ind w:firstLine="567"/>
        <w:jc w:val="center"/>
        <w:rPr>
          <w:rFonts w:eastAsia="Calibri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2044"/>
        <w:gridCol w:w="2068"/>
        <w:gridCol w:w="725"/>
        <w:gridCol w:w="760"/>
        <w:gridCol w:w="1459"/>
        <w:gridCol w:w="864"/>
        <w:gridCol w:w="998"/>
        <w:gridCol w:w="1466"/>
      </w:tblGrid>
      <w:tr w:rsidR="0019793E" w:rsidRPr="008948BB" w:rsidTr="00880F37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 xml:space="preserve">№ </w:t>
            </w:r>
            <w:proofErr w:type="gramStart"/>
            <w:r w:rsidRPr="008948BB">
              <w:rPr>
                <w:rFonts w:eastAsia="Calibri"/>
                <w:kern w:val="3"/>
                <w:sz w:val="18"/>
                <w:szCs w:val="18"/>
              </w:rPr>
              <w:t>п</w:t>
            </w:r>
            <w:proofErr w:type="gramEnd"/>
            <w:r w:rsidRPr="008948BB">
              <w:rPr>
                <w:rFonts w:eastAsia="Calibri"/>
                <w:kern w:val="3"/>
                <w:sz w:val="18"/>
                <w:szCs w:val="18"/>
              </w:rPr>
              <w:t>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93E" w:rsidRPr="008948BB" w:rsidRDefault="0019793E" w:rsidP="00880F37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Наименование Товара /Производитель</w:t>
            </w:r>
          </w:p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Ед.</w:t>
            </w:r>
            <w:r w:rsidRPr="008948BB">
              <w:rPr>
                <w:rFonts w:eastAsia="Calibri"/>
                <w:kern w:val="3"/>
                <w:sz w:val="18"/>
                <w:szCs w:val="18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  <w:p w:rsidR="0019793E" w:rsidRPr="008948BB" w:rsidRDefault="0019793E" w:rsidP="00880F37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НДС,%.</w:t>
            </w:r>
          </w:p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Сумма НДС, руб.</w:t>
            </w:r>
          </w:p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Стоимость вкл. НДС, руб.</w:t>
            </w:r>
          </w:p>
        </w:tc>
      </w:tr>
      <w:tr w:rsidR="0019793E" w:rsidRPr="008948BB" w:rsidTr="00880F37">
        <w:trPr>
          <w:trHeight w:val="433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948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ind w:firstLine="34"/>
              <w:rPr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</w:tr>
      <w:tr w:rsidR="0019793E" w:rsidRPr="008948BB" w:rsidTr="00880F37">
        <w:trPr>
          <w:trHeight w:val="433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948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ind w:firstLine="34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</w:tr>
      <w:tr w:rsidR="0019793E" w:rsidRPr="008948BB" w:rsidTr="00880F37">
        <w:trPr>
          <w:trHeight w:val="433"/>
        </w:trPr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948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ind w:right="-108" w:firstLine="34"/>
              <w:rPr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93E" w:rsidRPr="008948BB" w:rsidRDefault="0019793E" w:rsidP="00880F3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</w:tr>
      <w:tr w:rsidR="0019793E" w:rsidRPr="008948BB" w:rsidTr="00880F37">
        <w:tc>
          <w:tcPr>
            <w:tcW w:w="4333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  <w:r w:rsidRPr="008948BB">
              <w:rPr>
                <w:rFonts w:eastAsia="Calibri"/>
                <w:kern w:val="3"/>
                <w:sz w:val="18"/>
                <w:szCs w:val="18"/>
              </w:rPr>
              <w:t>ИТОГО: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93E" w:rsidRPr="008948BB" w:rsidRDefault="0019793E" w:rsidP="00880F37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</w:rPr>
            </w:pPr>
          </w:p>
        </w:tc>
      </w:tr>
    </w:tbl>
    <w:p w:rsidR="0019793E" w:rsidRPr="008948BB" w:rsidRDefault="0019793E" w:rsidP="0019793E">
      <w:pPr>
        <w:ind w:firstLine="567"/>
        <w:jc w:val="center"/>
        <w:rPr>
          <w:rFonts w:eastAsia="Calibri"/>
          <w:b/>
          <w:sz w:val="20"/>
          <w:szCs w:val="20"/>
        </w:rPr>
      </w:pPr>
    </w:p>
    <w:p w:rsidR="0019793E" w:rsidRPr="008948BB" w:rsidRDefault="0019793E" w:rsidP="0019793E">
      <w:pPr>
        <w:rPr>
          <w:rFonts w:eastAsia="Calibri"/>
          <w:b/>
          <w:sz w:val="20"/>
          <w:szCs w:val="20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9793E" w:rsidRPr="008948BB" w:rsidTr="00880F37">
        <w:tc>
          <w:tcPr>
            <w:tcW w:w="4820" w:type="dxa"/>
          </w:tcPr>
          <w:p w:rsidR="0019793E" w:rsidRPr="008948BB" w:rsidRDefault="0019793E" w:rsidP="00880F37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b/>
                <w:kern w:val="2"/>
                <w:lang w:eastAsia="zh-CN"/>
              </w:rPr>
            </w:pPr>
            <w:r w:rsidRPr="008948BB">
              <w:rPr>
                <w:b/>
                <w:kern w:val="2"/>
                <w:sz w:val="20"/>
                <w:szCs w:val="20"/>
              </w:rPr>
              <w:t>Поставщик:</w:t>
            </w:r>
          </w:p>
          <w:p w:rsidR="0019793E" w:rsidRPr="008948BB" w:rsidRDefault="0019793E" w:rsidP="00880F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8BB">
              <w:rPr>
                <w:sz w:val="20"/>
                <w:szCs w:val="20"/>
              </w:rPr>
              <w:t>_________________________</w:t>
            </w:r>
          </w:p>
          <w:p w:rsidR="0019793E" w:rsidRPr="008948BB" w:rsidRDefault="0019793E" w:rsidP="00880F37">
            <w:pPr>
              <w:spacing w:line="276" w:lineRule="auto"/>
            </w:pPr>
            <w:r w:rsidRPr="008948BB">
              <w:rPr>
                <w:sz w:val="20"/>
                <w:szCs w:val="20"/>
              </w:rPr>
              <w:t xml:space="preserve">Тел </w:t>
            </w:r>
          </w:p>
          <w:p w:rsidR="0019793E" w:rsidRPr="008948BB" w:rsidRDefault="0019793E" w:rsidP="00880F37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8948BB">
              <w:rPr>
                <w:sz w:val="20"/>
                <w:szCs w:val="20"/>
              </w:rPr>
              <w:t>Е</w:t>
            </w:r>
            <w:proofErr w:type="gramEnd"/>
            <w:r w:rsidRPr="008948BB">
              <w:rPr>
                <w:sz w:val="20"/>
                <w:szCs w:val="20"/>
              </w:rPr>
              <w:t>-</w:t>
            </w:r>
            <w:proofErr w:type="spellStart"/>
            <w:r w:rsidRPr="008948BB">
              <w:rPr>
                <w:sz w:val="20"/>
                <w:szCs w:val="20"/>
              </w:rPr>
              <w:t>mail</w:t>
            </w:r>
            <w:proofErr w:type="spellEnd"/>
            <w:r w:rsidRPr="008948BB">
              <w:rPr>
                <w:sz w:val="20"/>
                <w:szCs w:val="20"/>
              </w:rPr>
              <w:t xml:space="preserve">: </w:t>
            </w:r>
          </w:p>
          <w:p w:rsidR="0019793E" w:rsidRPr="008948BB" w:rsidRDefault="0019793E" w:rsidP="00880F37">
            <w:pPr>
              <w:spacing w:line="276" w:lineRule="auto"/>
              <w:jc w:val="both"/>
            </w:pPr>
          </w:p>
        </w:tc>
      </w:tr>
      <w:tr w:rsidR="0019793E" w:rsidRPr="008948BB" w:rsidTr="00880F37">
        <w:trPr>
          <w:trHeight w:val="1427"/>
        </w:trPr>
        <w:tc>
          <w:tcPr>
            <w:tcW w:w="4820" w:type="dxa"/>
          </w:tcPr>
          <w:p w:rsidR="0019793E" w:rsidRPr="008948BB" w:rsidRDefault="0019793E" w:rsidP="00880F37">
            <w:pPr>
              <w:keepNext/>
              <w:keepLines/>
              <w:widowControl w:val="0"/>
              <w:autoSpaceDN w:val="0"/>
              <w:spacing w:line="276" w:lineRule="auto"/>
              <w:jc w:val="both"/>
              <w:textAlignment w:val="baseline"/>
              <w:outlineLvl w:val="2"/>
              <w:rPr>
                <w:kern w:val="2"/>
                <w:lang w:eastAsia="zh-CN"/>
              </w:rPr>
            </w:pPr>
          </w:p>
          <w:p w:rsidR="0019793E" w:rsidRPr="008948BB" w:rsidRDefault="0019793E" w:rsidP="00880F37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kern w:val="2"/>
                <w:sz w:val="20"/>
                <w:szCs w:val="20"/>
              </w:rPr>
            </w:pPr>
            <w:r w:rsidRPr="008948BB">
              <w:rPr>
                <w:kern w:val="2"/>
                <w:sz w:val="20"/>
                <w:szCs w:val="20"/>
              </w:rPr>
              <w:t>___________________/ __________/</w:t>
            </w:r>
          </w:p>
          <w:p w:rsidR="0019793E" w:rsidRPr="008948BB" w:rsidRDefault="0019793E" w:rsidP="00880F37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2"/>
                <w:lang w:eastAsia="zh-CN"/>
              </w:rPr>
            </w:pPr>
          </w:p>
        </w:tc>
      </w:tr>
    </w:tbl>
    <w:p w:rsidR="0019793E" w:rsidRPr="002A4273" w:rsidRDefault="0019793E" w:rsidP="00236EF0">
      <w:pPr>
        <w:jc w:val="right"/>
      </w:pPr>
    </w:p>
    <w:sectPr w:rsidR="0019793E" w:rsidRPr="002A4273" w:rsidSect="0019793E">
      <w:pgSz w:w="11906" w:h="16838"/>
      <w:pgMar w:top="110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55"/>
    <w:rsid w:val="000A5649"/>
    <w:rsid w:val="000B00AA"/>
    <w:rsid w:val="000C3887"/>
    <w:rsid w:val="0019793E"/>
    <w:rsid w:val="00213422"/>
    <w:rsid w:val="00236EF0"/>
    <w:rsid w:val="00251BD4"/>
    <w:rsid w:val="002A4273"/>
    <w:rsid w:val="002A6555"/>
    <w:rsid w:val="002F7BDE"/>
    <w:rsid w:val="0034654E"/>
    <w:rsid w:val="003777E6"/>
    <w:rsid w:val="00446BD7"/>
    <w:rsid w:val="004871F5"/>
    <w:rsid w:val="005617C1"/>
    <w:rsid w:val="005835CF"/>
    <w:rsid w:val="007231C3"/>
    <w:rsid w:val="007235CE"/>
    <w:rsid w:val="007235DF"/>
    <w:rsid w:val="0074395C"/>
    <w:rsid w:val="007D0B0C"/>
    <w:rsid w:val="007D492B"/>
    <w:rsid w:val="00805041"/>
    <w:rsid w:val="0088198B"/>
    <w:rsid w:val="008C153C"/>
    <w:rsid w:val="00B24096"/>
    <w:rsid w:val="00B8135C"/>
    <w:rsid w:val="00BB7A29"/>
    <w:rsid w:val="00DA5667"/>
    <w:rsid w:val="00E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RUS7BASES\&#1064;&#1040;&#1041;&#1051;&#1054;&#1053;&#1067;%20&#1056;&#1045;&#1040;&#1051;&#1048;&#1047;&#1040;&#1062;&#1048;&#1071;\docsBase\&#1064;&#1072;&#1073;&#1083;&#1086;&#1085;_&#1058;&#1047;_&#1047;&#1072;&#1087;&#1088;&#1086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Шаблон_ТЗ_Запрос</Template>
  <TotalTime>21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НикуленковаНН</dc:creator>
  <cp:lastModifiedBy>Пользователь Windows</cp:lastModifiedBy>
  <cp:revision>12</cp:revision>
  <dcterms:created xsi:type="dcterms:W3CDTF">2024-09-17T10:09:00Z</dcterms:created>
  <dcterms:modified xsi:type="dcterms:W3CDTF">2024-10-07T06:55:00Z</dcterms:modified>
</cp:coreProperties>
</file>