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BB" w:rsidRPr="000F2D83" w:rsidRDefault="00FD3D8B">
      <w:pPr>
        <w:pStyle w:val="Standard"/>
        <w:jc w:val="center"/>
        <w:rPr>
          <w:b/>
          <w:bCs/>
          <w:color w:val="1F1A17"/>
          <w:sz w:val="22"/>
          <w:szCs w:val="22"/>
        </w:rPr>
      </w:pPr>
      <w:r w:rsidRPr="000F2D83">
        <w:rPr>
          <w:b/>
          <w:bCs/>
          <w:color w:val="1F1A17"/>
          <w:sz w:val="22"/>
          <w:szCs w:val="22"/>
        </w:rPr>
        <w:t>Техническое задание</w:t>
      </w:r>
    </w:p>
    <w:p w:rsidR="000546E9" w:rsidRPr="000F2D83" w:rsidRDefault="00FD3D8B">
      <w:pPr>
        <w:pStyle w:val="Standard"/>
        <w:jc w:val="center"/>
        <w:rPr>
          <w:b/>
          <w:bCs/>
          <w:color w:val="1F1A17"/>
          <w:sz w:val="22"/>
          <w:szCs w:val="22"/>
          <w:lang w:eastAsia="ru-RU"/>
        </w:rPr>
      </w:pPr>
      <w:r w:rsidRPr="000F2D83">
        <w:rPr>
          <w:b/>
          <w:bCs/>
          <w:color w:val="1F1A17"/>
          <w:sz w:val="22"/>
          <w:szCs w:val="22"/>
        </w:rPr>
        <w:t xml:space="preserve">на предоставление </w:t>
      </w:r>
      <w:r w:rsidR="000546E9" w:rsidRPr="000F2D83">
        <w:rPr>
          <w:b/>
          <w:bCs/>
          <w:color w:val="1F1A17"/>
          <w:sz w:val="22"/>
          <w:szCs w:val="22"/>
          <w:lang w:eastAsia="ru-RU"/>
        </w:rPr>
        <w:t>простой не исключительной лицензии на</w:t>
      </w:r>
      <w:r w:rsidRPr="000F2D83">
        <w:rPr>
          <w:b/>
          <w:bCs/>
          <w:color w:val="1F1A17"/>
          <w:sz w:val="22"/>
          <w:szCs w:val="22"/>
          <w:lang w:eastAsia="ru-RU"/>
        </w:rPr>
        <w:t xml:space="preserve"> </w:t>
      </w:r>
      <w:r w:rsidR="00EE100E" w:rsidRPr="000F2D83">
        <w:rPr>
          <w:b/>
          <w:bCs/>
          <w:color w:val="1F1A17"/>
          <w:sz w:val="22"/>
          <w:szCs w:val="22"/>
          <w:lang w:eastAsia="ru-RU"/>
        </w:rPr>
        <w:t>ViPNet Client for Windows 4.x (КС2)</w:t>
      </w:r>
      <w:r w:rsidR="007D6901" w:rsidRPr="000F2D83">
        <w:rPr>
          <w:b/>
          <w:bCs/>
          <w:color w:val="1F1A17"/>
          <w:sz w:val="22"/>
          <w:szCs w:val="22"/>
          <w:lang w:eastAsia="ru-RU"/>
        </w:rPr>
        <w:t xml:space="preserve"> и ViPNet Client for </w:t>
      </w:r>
      <w:r w:rsidR="007D6901" w:rsidRPr="000F2D83">
        <w:rPr>
          <w:b/>
          <w:bCs/>
          <w:color w:val="1F1A17"/>
          <w:sz w:val="22"/>
          <w:szCs w:val="22"/>
          <w:lang w:val="en-US" w:eastAsia="ru-RU"/>
        </w:rPr>
        <w:t>linux</w:t>
      </w:r>
      <w:r w:rsidR="007D6901" w:rsidRPr="000F2D83">
        <w:rPr>
          <w:b/>
          <w:bCs/>
          <w:color w:val="1F1A17"/>
          <w:sz w:val="22"/>
          <w:szCs w:val="22"/>
          <w:lang w:eastAsia="ru-RU"/>
        </w:rPr>
        <w:t xml:space="preserve"> 4.x (КС2</w:t>
      </w:r>
      <w:r w:rsidR="00EE100E" w:rsidRPr="000F2D83">
        <w:rPr>
          <w:b/>
          <w:bCs/>
          <w:color w:val="1F1A17"/>
          <w:sz w:val="22"/>
          <w:szCs w:val="22"/>
          <w:lang w:eastAsia="ru-RU"/>
        </w:rPr>
        <w:t xml:space="preserve"> для сети </w:t>
      </w:r>
      <w:r w:rsidR="007D6901" w:rsidRPr="000F2D83">
        <w:rPr>
          <w:b/>
          <w:bCs/>
          <w:color w:val="1F1A17"/>
          <w:sz w:val="22"/>
          <w:szCs w:val="22"/>
          <w:lang w:eastAsia="ru-RU"/>
        </w:rPr>
        <w:t>11142</w:t>
      </w:r>
      <w:r w:rsidR="000546E9" w:rsidRPr="000F2D83">
        <w:rPr>
          <w:b/>
          <w:bCs/>
          <w:color w:val="1F1A17"/>
          <w:sz w:val="22"/>
          <w:szCs w:val="22"/>
          <w:lang w:eastAsia="ru-RU"/>
        </w:rPr>
        <w:t xml:space="preserve"> с сопутствующими услугами </w:t>
      </w:r>
    </w:p>
    <w:p w:rsidR="008E4CBB" w:rsidRPr="000F2D83" w:rsidRDefault="00FD3D8B">
      <w:pPr>
        <w:pStyle w:val="Standard"/>
        <w:jc w:val="center"/>
        <w:rPr>
          <w:sz w:val="22"/>
          <w:szCs w:val="22"/>
        </w:rPr>
      </w:pPr>
      <w:r w:rsidRPr="000F2D83">
        <w:rPr>
          <w:b/>
          <w:bCs/>
          <w:color w:val="1F1A17"/>
          <w:sz w:val="22"/>
          <w:szCs w:val="22"/>
          <w:lang w:eastAsia="ru-RU"/>
        </w:rPr>
        <w:t xml:space="preserve"> для нужд</w:t>
      </w:r>
      <w:r w:rsidR="000546E9" w:rsidRPr="000F2D83">
        <w:rPr>
          <w:b/>
          <w:bCs/>
          <w:color w:val="1F1A17"/>
          <w:sz w:val="22"/>
          <w:szCs w:val="22"/>
          <w:lang w:eastAsia="ru-RU"/>
        </w:rPr>
        <w:t xml:space="preserve"> </w:t>
      </w:r>
    </w:p>
    <w:p w:rsidR="008E4CBB" w:rsidRPr="000F2D83" w:rsidRDefault="000546E9">
      <w:pPr>
        <w:pStyle w:val="Standard"/>
        <w:jc w:val="center"/>
        <w:rPr>
          <w:b/>
          <w:bCs/>
          <w:color w:val="1F1A17"/>
          <w:sz w:val="22"/>
          <w:szCs w:val="22"/>
        </w:rPr>
      </w:pPr>
      <w:r w:rsidRPr="000F2D83">
        <w:rPr>
          <w:b/>
          <w:bCs/>
          <w:color w:val="1F1A17"/>
          <w:sz w:val="22"/>
          <w:szCs w:val="22"/>
        </w:rPr>
        <w:t>ЧУЗ</w:t>
      </w:r>
      <w:r w:rsidR="00FD3D8B" w:rsidRPr="000F2D83">
        <w:rPr>
          <w:b/>
          <w:bCs/>
          <w:color w:val="1F1A17"/>
          <w:sz w:val="22"/>
          <w:szCs w:val="22"/>
        </w:rPr>
        <w:t xml:space="preserve"> «</w:t>
      </w:r>
      <w:r w:rsidRPr="000F2D83">
        <w:rPr>
          <w:b/>
          <w:bCs/>
          <w:color w:val="1F1A17"/>
          <w:sz w:val="22"/>
          <w:szCs w:val="22"/>
        </w:rPr>
        <w:t>К</w:t>
      </w:r>
      <w:r w:rsidR="00FD3D8B" w:rsidRPr="000F2D83">
        <w:rPr>
          <w:b/>
          <w:bCs/>
          <w:color w:val="1F1A17"/>
          <w:sz w:val="22"/>
          <w:szCs w:val="22"/>
        </w:rPr>
        <w:t>линическая больница «РЖД</w:t>
      </w:r>
      <w:r w:rsidRPr="000F2D83">
        <w:rPr>
          <w:b/>
          <w:bCs/>
          <w:color w:val="1F1A17"/>
          <w:sz w:val="22"/>
          <w:szCs w:val="22"/>
        </w:rPr>
        <w:t>-Медицина</w:t>
      </w:r>
      <w:r w:rsidR="00FD3D8B" w:rsidRPr="000F2D83">
        <w:rPr>
          <w:b/>
          <w:bCs/>
          <w:color w:val="1F1A17"/>
          <w:sz w:val="22"/>
          <w:szCs w:val="22"/>
        </w:rPr>
        <w:t>»</w:t>
      </w:r>
      <w:r w:rsidRPr="000F2D83">
        <w:rPr>
          <w:b/>
          <w:bCs/>
          <w:color w:val="1F1A17"/>
          <w:sz w:val="22"/>
          <w:szCs w:val="22"/>
        </w:rPr>
        <w:t xml:space="preserve"> г. Челябинск</w:t>
      </w:r>
      <w:r w:rsidR="00FD3D8B" w:rsidRPr="000F2D83">
        <w:rPr>
          <w:b/>
          <w:bCs/>
          <w:color w:val="1F1A17"/>
          <w:sz w:val="22"/>
          <w:szCs w:val="22"/>
        </w:rPr>
        <w:t>.</w:t>
      </w:r>
    </w:p>
    <w:p w:rsidR="008E4CBB" w:rsidRPr="000F2D83" w:rsidRDefault="008E4CBB">
      <w:pPr>
        <w:pStyle w:val="Standard"/>
        <w:rPr>
          <w:color w:val="1F1A17"/>
          <w:sz w:val="22"/>
          <w:szCs w:val="22"/>
        </w:rPr>
      </w:pPr>
    </w:p>
    <w:tbl>
      <w:tblPr>
        <w:tblW w:w="989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60"/>
        <w:gridCol w:w="2709"/>
        <w:gridCol w:w="6529"/>
      </w:tblGrid>
      <w:tr w:rsidR="000546E9" w:rsidRPr="000F2D83" w:rsidTr="00FD3D8B">
        <w:trPr>
          <w:trHeight w:val="908"/>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1</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Заказчик</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rPr>
              <w:t xml:space="preserve">Частное учреждение здравоохранения «Клиническая больница «РЖД-Медицина» города Челябинск», 454000, Челябинская область, г. Челябинск, </w:t>
            </w:r>
          </w:p>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lang w:val="en-US"/>
              </w:rPr>
              <w:t>ул. Цвиллинга, д. 41</w:t>
            </w:r>
            <w:r w:rsidR="00EE100E" w:rsidRPr="000F2D83">
              <w:rPr>
                <w:rFonts w:ascii="Times New Roman" w:hAnsi="Times New Roman" w:cs="Times New Roman"/>
                <w:sz w:val="22"/>
              </w:rPr>
              <w:t>;</w:t>
            </w:r>
          </w:p>
        </w:tc>
      </w:tr>
      <w:tr w:rsidR="000546E9"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2</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FD3D8B">
            <w:pPr>
              <w:rPr>
                <w:rFonts w:ascii="Times New Roman" w:hAnsi="Times New Roman" w:cs="Times New Roman"/>
                <w:sz w:val="22"/>
              </w:rPr>
            </w:pPr>
            <w:r w:rsidRPr="000F2D83">
              <w:rPr>
                <w:rFonts w:ascii="Times New Roman" w:hAnsi="Times New Roman" w:cs="Times New Roman"/>
                <w:sz w:val="22"/>
              </w:rPr>
              <w:t xml:space="preserve">Сроки предоставления </w:t>
            </w:r>
            <w:r w:rsidR="00FD3D8B" w:rsidRPr="000F2D83">
              <w:rPr>
                <w:rFonts w:ascii="Times New Roman" w:hAnsi="Times New Roman" w:cs="Times New Roman"/>
                <w:sz w:val="22"/>
              </w:rPr>
              <w:t xml:space="preserve">дистрибутива, </w:t>
            </w:r>
            <w:r w:rsidRPr="000F2D83">
              <w:rPr>
                <w:rFonts w:ascii="Times New Roman" w:hAnsi="Times New Roman" w:cs="Times New Roman"/>
                <w:sz w:val="22"/>
              </w:rPr>
              <w:t>лицензии</w:t>
            </w:r>
            <w:r w:rsidR="00FD3D8B" w:rsidRPr="000F2D83">
              <w:rPr>
                <w:rFonts w:ascii="Times New Roman" w:hAnsi="Times New Roman" w:cs="Times New Roman"/>
                <w:sz w:val="22"/>
              </w:rPr>
              <w:t xml:space="preserve"> и комплекта документов для СКЗИ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0546E9" w:rsidP="00FD3D8B">
            <w:pPr>
              <w:rPr>
                <w:rFonts w:ascii="Times New Roman" w:hAnsi="Times New Roman" w:cs="Times New Roman"/>
                <w:sz w:val="22"/>
              </w:rPr>
            </w:pPr>
            <w:r w:rsidRPr="000F2D83">
              <w:rPr>
                <w:rFonts w:ascii="Times New Roman" w:hAnsi="Times New Roman" w:cs="Times New Roman"/>
                <w:sz w:val="22"/>
              </w:rPr>
              <w:t xml:space="preserve">В течение </w:t>
            </w:r>
            <w:r w:rsidR="00FD3D8B" w:rsidRPr="000F2D83">
              <w:rPr>
                <w:rFonts w:ascii="Times New Roman" w:hAnsi="Times New Roman" w:cs="Times New Roman"/>
                <w:sz w:val="22"/>
              </w:rPr>
              <w:t>30</w:t>
            </w:r>
            <w:r w:rsidRPr="000F2D83">
              <w:rPr>
                <w:rFonts w:ascii="Times New Roman" w:hAnsi="Times New Roman" w:cs="Times New Roman"/>
                <w:sz w:val="22"/>
              </w:rPr>
              <w:t xml:space="preserve"> </w:t>
            </w:r>
            <w:r w:rsidR="00FD3D8B" w:rsidRPr="000F2D83">
              <w:rPr>
                <w:rFonts w:ascii="Times New Roman" w:hAnsi="Times New Roman" w:cs="Times New Roman"/>
                <w:sz w:val="22"/>
              </w:rPr>
              <w:t>календарных</w:t>
            </w:r>
            <w:r w:rsidRPr="000F2D83">
              <w:rPr>
                <w:rFonts w:ascii="Times New Roman" w:hAnsi="Times New Roman" w:cs="Times New Roman"/>
                <w:sz w:val="22"/>
              </w:rPr>
              <w:t xml:space="preserve"> с даты заказа в АСЗ «Электронный ордер»</w:t>
            </w:r>
            <w:r w:rsidR="00EE100E" w:rsidRPr="000F2D83">
              <w:rPr>
                <w:rFonts w:ascii="Times New Roman" w:hAnsi="Times New Roman" w:cs="Times New Roman"/>
                <w:sz w:val="22"/>
              </w:rPr>
              <w:t>;</w:t>
            </w:r>
          </w:p>
        </w:tc>
      </w:tr>
      <w:tr w:rsidR="000546E9"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rPr>
              <w:t>3</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Наименование ПО</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0546E9" w:rsidP="007D6901">
            <w:pPr>
              <w:rPr>
                <w:rFonts w:ascii="Times New Roman" w:hAnsi="Times New Roman" w:cs="Times New Roman"/>
                <w:sz w:val="22"/>
                <w:lang w:val="en-US"/>
              </w:rPr>
            </w:pPr>
            <w:r w:rsidRPr="000F2D83">
              <w:rPr>
                <w:rFonts w:ascii="Times New Roman" w:hAnsi="Times New Roman" w:cs="Times New Roman"/>
                <w:sz w:val="22"/>
                <w:lang w:val="en-US"/>
              </w:rPr>
              <w:t>ViPNet Client for Windows 4.x (КС2)</w:t>
            </w:r>
            <w:r w:rsidR="00B360DE" w:rsidRPr="000F2D83">
              <w:rPr>
                <w:rFonts w:ascii="Times New Roman" w:hAnsi="Times New Roman" w:cs="Times New Roman"/>
                <w:sz w:val="22"/>
                <w:lang w:val="en-US"/>
              </w:rPr>
              <w:t xml:space="preserve"> </w:t>
            </w:r>
            <w:r w:rsidR="00B360DE" w:rsidRPr="000F2D83">
              <w:rPr>
                <w:rFonts w:ascii="Times New Roman" w:hAnsi="Times New Roman" w:cs="Times New Roman"/>
                <w:sz w:val="22"/>
              </w:rPr>
              <w:t>и</w:t>
            </w:r>
            <w:r w:rsidR="00B360DE" w:rsidRPr="000F2D83">
              <w:rPr>
                <w:rFonts w:ascii="Times New Roman" w:hAnsi="Times New Roman" w:cs="Times New Roman"/>
                <w:sz w:val="22"/>
                <w:lang w:val="en-US"/>
              </w:rPr>
              <w:t xml:space="preserve"> ViPNet Client for Linux 4.</w:t>
            </w:r>
            <w:r w:rsidR="00B360DE" w:rsidRPr="000F2D83">
              <w:rPr>
                <w:rFonts w:ascii="Times New Roman" w:hAnsi="Times New Roman" w:cs="Times New Roman"/>
                <w:sz w:val="22"/>
              </w:rPr>
              <w:t>х</w:t>
            </w:r>
            <w:r w:rsidR="00B360DE" w:rsidRPr="000F2D83">
              <w:rPr>
                <w:rFonts w:ascii="Times New Roman" w:hAnsi="Times New Roman" w:cs="Times New Roman"/>
                <w:sz w:val="22"/>
                <w:lang w:val="en-US"/>
              </w:rPr>
              <w:t xml:space="preserve"> (</w:t>
            </w:r>
            <w:r w:rsidR="00B360DE" w:rsidRPr="000F2D83">
              <w:rPr>
                <w:rFonts w:ascii="Times New Roman" w:hAnsi="Times New Roman" w:cs="Times New Roman"/>
                <w:sz w:val="22"/>
              </w:rPr>
              <w:t>КС</w:t>
            </w:r>
            <w:r w:rsidR="00B360DE" w:rsidRPr="000F2D83">
              <w:rPr>
                <w:rFonts w:ascii="Times New Roman" w:hAnsi="Times New Roman" w:cs="Times New Roman"/>
                <w:sz w:val="22"/>
                <w:lang w:val="en-US"/>
              </w:rPr>
              <w:t>2)</w:t>
            </w:r>
            <w:r w:rsidRPr="000F2D83">
              <w:rPr>
                <w:rFonts w:ascii="Times New Roman" w:hAnsi="Times New Roman" w:cs="Times New Roman"/>
                <w:sz w:val="22"/>
                <w:lang w:val="en-US"/>
              </w:rPr>
              <w:t xml:space="preserve"> для сети </w:t>
            </w:r>
            <w:r w:rsidR="007D6901" w:rsidRPr="000F2D83">
              <w:rPr>
                <w:rFonts w:ascii="Times New Roman" w:hAnsi="Times New Roman" w:cs="Times New Roman"/>
                <w:sz w:val="22"/>
                <w:lang w:val="en-US"/>
              </w:rPr>
              <w:t>11142</w:t>
            </w:r>
            <w:r w:rsidR="00EE100E" w:rsidRPr="000F2D83">
              <w:rPr>
                <w:rFonts w:ascii="Times New Roman" w:hAnsi="Times New Roman" w:cs="Times New Roman"/>
                <w:sz w:val="22"/>
                <w:lang w:val="en-US"/>
              </w:rPr>
              <w:t>;</w:t>
            </w:r>
          </w:p>
        </w:tc>
      </w:tr>
      <w:tr w:rsidR="00CF3173"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CF3173" w:rsidRPr="000F2D83" w:rsidRDefault="00CF3173" w:rsidP="000546E9">
            <w:pPr>
              <w:rPr>
                <w:rFonts w:ascii="Times New Roman" w:hAnsi="Times New Roman" w:cs="Times New Roman"/>
                <w:sz w:val="22"/>
              </w:rPr>
            </w:pPr>
            <w:r w:rsidRPr="000F2D83">
              <w:rPr>
                <w:rFonts w:ascii="Times New Roman" w:hAnsi="Times New Roman" w:cs="Times New Roman"/>
                <w:sz w:val="22"/>
              </w:rPr>
              <w:t>4</w:t>
            </w:r>
          </w:p>
        </w:tc>
        <w:tc>
          <w:tcPr>
            <w:tcW w:w="2709" w:type="dxa"/>
            <w:tcBorders>
              <w:top w:val="single" w:sz="4" w:space="0" w:color="000000"/>
              <w:left w:val="single" w:sz="4" w:space="0" w:color="000000"/>
              <w:bottom w:val="single" w:sz="4" w:space="0" w:color="000000"/>
            </w:tcBorders>
            <w:shd w:val="clear" w:color="auto" w:fill="auto"/>
          </w:tcPr>
          <w:p w:rsidR="00CF3173" w:rsidRPr="000F2D83" w:rsidRDefault="00CF3173" w:rsidP="000546E9">
            <w:pPr>
              <w:rPr>
                <w:rFonts w:ascii="Times New Roman" w:hAnsi="Times New Roman" w:cs="Times New Roman"/>
                <w:sz w:val="22"/>
              </w:rPr>
            </w:pPr>
            <w:r w:rsidRPr="000F2D83">
              <w:rPr>
                <w:rFonts w:ascii="Times New Roman" w:hAnsi="Times New Roman" w:cs="Times New Roman"/>
                <w:sz w:val="22"/>
              </w:rPr>
              <w:t>Эквиваленты</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CF3173" w:rsidRPr="000F2D83" w:rsidRDefault="00CF3173" w:rsidP="007D6901">
            <w:pPr>
              <w:rPr>
                <w:rFonts w:ascii="Times New Roman" w:hAnsi="Times New Roman" w:cs="Times New Roman"/>
                <w:sz w:val="22"/>
              </w:rPr>
            </w:pPr>
            <w:r w:rsidRPr="000F2D83">
              <w:rPr>
                <w:rFonts w:ascii="Times New Roman" w:hAnsi="Times New Roman" w:cs="Times New Roman"/>
                <w:sz w:val="22"/>
              </w:rPr>
              <w:t xml:space="preserve">Поставка эквивалента недопустима в связи с тем, что требуется обеспечить совместимость с уже существующей инфраструктурой защищенной сети № </w:t>
            </w:r>
            <w:r w:rsidR="007D6901" w:rsidRPr="000F2D83">
              <w:rPr>
                <w:rFonts w:ascii="Times New Roman" w:hAnsi="Times New Roman" w:cs="Times New Roman"/>
                <w:sz w:val="22"/>
              </w:rPr>
              <w:t>11142</w:t>
            </w:r>
            <w:r w:rsidRPr="000F2D83">
              <w:rPr>
                <w:rFonts w:ascii="Times New Roman" w:hAnsi="Times New Roman" w:cs="Times New Roman"/>
                <w:sz w:val="22"/>
              </w:rPr>
              <w:t>, построен</w:t>
            </w:r>
            <w:r w:rsidR="00EE100E" w:rsidRPr="000F2D83">
              <w:rPr>
                <w:rFonts w:ascii="Times New Roman" w:hAnsi="Times New Roman" w:cs="Times New Roman"/>
                <w:sz w:val="22"/>
              </w:rPr>
              <w:t>ной по технологии ViPNet;</w:t>
            </w:r>
          </w:p>
        </w:tc>
      </w:tr>
      <w:tr w:rsidR="000546E9"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352422" w:rsidP="000546E9">
            <w:pPr>
              <w:rPr>
                <w:rFonts w:ascii="Times New Roman" w:hAnsi="Times New Roman" w:cs="Times New Roman"/>
                <w:sz w:val="22"/>
              </w:rPr>
            </w:pPr>
            <w:r w:rsidRPr="000F2D83">
              <w:rPr>
                <w:rFonts w:ascii="Times New Roman" w:hAnsi="Times New Roman" w:cs="Times New Roman"/>
                <w:sz w:val="22"/>
              </w:rPr>
              <w:t>5</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Вид лицензии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0546E9" w:rsidP="00952FA4">
            <w:pPr>
              <w:rPr>
                <w:rFonts w:ascii="Times New Roman" w:hAnsi="Times New Roman" w:cs="Times New Roman"/>
                <w:sz w:val="22"/>
              </w:rPr>
            </w:pPr>
            <w:r w:rsidRPr="000F2D83">
              <w:rPr>
                <w:rFonts w:ascii="Times New Roman" w:hAnsi="Times New Roman" w:cs="Times New Roman"/>
                <w:sz w:val="22"/>
              </w:rPr>
              <w:t>Простая неисключительна лицензия на использование ПО ViPNet Client fo</w:t>
            </w:r>
            <w:r w:rsidR="00EE100E" w:rsidRPr="000F2D83">
              <w:rPr>
                <w:rFonts w:ascii="Times New Roman" w:hAnsi="Times New Roman" w:cs="Times New Roman"/>
                <w:sz w:val="22"/>
              </w:rPr>
              <w:t>r Windows 4.х (КС2)</w:t>
            </w:r>
            <w:r w:rsidR="00952FA4" w:rsidRPr="000F2D83">
              <w:rPr>
                <w:rFonts w:ascii="Times New Roman" w:hAnsi="Times New Roman" w:cs="Times New Roman"/>
                <w:sz w:val="22"/>
              </w:rPr>
              <w:t xml:space="preserve"> и ViPNet Client for </w:t>
            </w:r>
            <w:r w:rsidR="00952FA4" w:rsidRPr="000F2D83">
              <w:rPr>
                <w:rFonts w:ascii="Times New Roman" w:hAnsi="Times New Roman" w:cs="Times New Roman"/>
                <w:sz w:val="22"/>
                <w:lang w:val="en-US"/>
              </w:rPr>
              <w:t>Linux</w:t>
            </w:r>
            <w:r w:rsidR="00952FA4" w:rsidRPr="000F2D83">
              <w:rPr>
                <w:rFonts w:ascii="Times New Roman" w:hAnsi="Times New Roman" w:cs="Times New Roman"/>
                <w:sz w:val="22"/>
              </w:rPr>
              <w:t xml:space="preserve"> 4.х (КС2)</w:t>
            </w:r>
            <w:r w:rsidR="00EE100E" w:rsidRPr="000F2D83">
              <w:rPr>
                <w:rFonts w:ascii="Times New Roman" w:hAnsi="Times New Roman" w:cs="Times New Roman"/>
                <w:sz w:val="22"/>
              </w:rPr>
              <w:t xml:space="preserve">, сеть </w:t>
            </w:r>
            <w:r w:rsidR="007D6901" w:rsidRPr="000F2D83">
              <w:rPr>
                <w:rFonts w:ascii="Times New Roman" w:hAnsi="Times New Roman" w:cs="Times New Roman"/>
                <w:sz w:val="22"/>
              </w:rPr>
              <w:t>11142</w:t>
            </w:r>
            <w:r w:rsidR="00EE100E" w:rsidRPr="000F2D83">
              <w:rPr>
                <w:rFonts w:ascii="Times New Roman" w:hAnsi="Times New Roman" w:cs="Times New Roman"/>
                <w:sz w:val="22"/>
              </w:rPr>
              <w:t>;</w:t>
            </w:r>
          </w:p>
        </w:tc>
      </w:tr>
      <w:tr w:rsidR="00FD3D8B"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FD3D8B" w:rsidRPr="000F2D83" w:rsidRDefault="00FD3D8B" w:rsidP="000546E9">
            <w:pPr>
              <w:rPr>
                <w:rFonts w:ascii="Times New Roman" w:hAnsi="Times New Roman" w:cs="Times New Roman"/>
                <w:sz w:val="22"/>
              </w:rPr>
            </w:pPr>
            <w:r w:rsidRPr="000F2D83">
              <w:rPr>
                <w:rFonts w:ascii="Times New Roman" w:hAnsi="Times New Roman" w:cs="Times New Roman"/>
                <w:sz w:val="22"/>
              </w:rPr>
              <w:t>6</w:t>
            </w:r>
          </w:p>
        </w:tc>
        <w:tc>
          <w:tcPr>
            <w:tcW w:w="2709" w:type="dxa"/>
            <w:tcBorders>
              <w:top w:val="single" w:sz="4" w:space="0" w:color="000000"/>
              <w:left w:val="single" w:sz="4" w:space="0" w:color="000000"/>
              <w:bottom w:val="single" w:sz="4" w:space="0" w:color="000000"/>
            </w:tcBorders>
            <w:shd w:val="clear" w:color="auto" w:fill="auto"/>
          </w:tcPr>
          <w:p w:rsidR="00FD3D8B" w:rsidRPr="000F2D83" w:rsidRDefault="00FD3D8B" w:rsidP="000546E9">
            <w:pPr>
              <w:rPr>
                <w:rFonts w:ascii="Times New Roman" w:hAnsi="Times New Roman" w:cs="Times New Roman"/>
                <w:sz w:val="22"/>
                <w:lang w:val="en-US"/>
              </w:rPr>
            </w:pPr>
            <w:r w:rsidRPr="000F2D83">
              <w:rPr>
                <w:rFonts w:ascii="Times New Roman" w:hAnsi="Times New Roman" w:cs="Times New Roman"/>
                <w:sz w:val="22"/>
                <w:lang w:val="en-US"/>
              </w:rPr>
              <w:t>Срок действия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FD3D8B" w:rsidRPr="000F2D83" w:rsidRDefault="00FD3D8B" w:rsidP="000546E9">
            <w:pPr>
              <w:rPr>
                <w:rFonts w:ascii="Times New Roman" w:hAnsi="Times New Roman" w:cs="Times New Roman"/>
                <w:b/>
                <w:sz w:val="22"/>
              </w:rPr>
            </w:pPr>
            <w:r w:rsidRPr="000F2D83">
              <w:rPr>
                <w:rFonts w:ascii="Times New Roman" w:hAnsi="Times New Roman" w:cs="Times New Roman"/>
                <w:sz w:val="22"/>
              </w:rPr>
              <w:t>На срок</w:t>
            </w:r>
            <w:r w:rsidR="00EE100E" w:rsidRPr="000F2D83">
              <w:rPr>
                <w:rFonts w:ascii="Times New Roman" w:hAnsi="Times New Roman" w:cs="Times New Roman"/>
                <w:sz w:val="22"/>
              </w:rPr>
              <w:t xml:space="preserve"> действия исключительного права;</w:t>
            </w:r>
          </w:p>
        </w:tc>
      </w:tr>
      <w:tr w:rsidR="00352422" w:rsidRPr="000F2D83" w:rsidTr="00FD3D8B">
        <w:trPr>
          <w:trHeight w:val="461"/>
        </w:trPr>
        <w:tc>
          <w:tcPr>
            <w:tcW w:w="660" w:type="dxa"/>
            <w:tcBorders>
              <w:top w:val="single" w:sz="4" w:space="0" w:color="000000"/>
              <w:left w:val="single" w:sz="4" w:space="0" w:color="000000"/>
              <w:bottom w:val="single" w:sz="4" w:space="0" w:color="000000"/>
            </w:tcBorders>
            <w:shd w:val="clear" w:color="auto" w:fill="auto"/>
          </w:tcPr>
          <w:p w:rsidR="00352422" w:rsidRPr="000F2D83" w:rsidRDefault="00FD3D8B" w:rsidP="000546E9">
            <w:pPr>
              <w:rPr>
                <w:rFonts w:ascii="Times New Roman" w:hAnsi="Times New Roman" w:cs="Times New Roman"/>
                <w:sz w:val="22"/>
              </w:rPr>
            </w:pPr>
            <w:r w:rsidRPr="000F2D83">
              <w:rPr>
                <w:rFonts w:ascii="Times New Roman" w:hAnsi="Times New Roman" w:cs="Times New Roman"/>
                <w:sz w:val="22"/>
              </w:rPr>
              <w:t>7</w:t>
            </w:r>
          </w:p>
        </w:tc>
        <w:tc>
          <w:tcPr>
            <w:tcW w:w="2709" w:type="dxa"/>
            <w:tcBorders>
              <w:top w:val="single" w:sz="4" w:space="0" w:color="000000"/>
              <w:left w:val="single" w:sz="4" w:space="0" w:color="000000"/>
              <w:bottom w:val="single" w:sz="4" w:space="0" w:color="000000"/>
            </w:tcBorders>
            <w:shd w:val="clear" w:color="auto" w:fill="auto"/>
          </w:tcPr>
          <w:p w:rsidR="00352422" w:rsidRPr="000F2D83" w:rsidRDefault="00352422" w:rsidP="000546E9">
            <w:pPr>
              <w:rPr>
                <w:rFonts w:ascii="Times New Roman" w:hAnsi="Times New Roman" w:cs="Times New Roman"/>
                <w:sz w:val="22"/>
              </w:rPr>
            </w:pPr>
            <w:r w:rsidRPr="000F2D83">
              <w:rPr>
                <w:rFonts w:ascii="Times New Roman" w:hAnsi="Times New Roman" w:cs="Times New Roman"/>
                <w:sz w:val="22"/>
              </w:rPr>
              <w:t>Количество лицензий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352422" w:rsidRPr="000F2D83" w:rsidRDefault="007D6901" w:rsidP="000546E9">
            <w:pPr>
              <w:rPr>
                <w:rFonts w:ascii="Times New Roman" w:hAnsi="Times New Roman" w:cs="Times New Roman"/>
                <w:sz w:val="22"/>
              </w:rPr>
            </w:pPr>
            <w:r w:rsidRPr="000F2D83">
              <w:rPr>
                <w:rFonts w:ascii="Times New Roman" w:hAnsi="Times New Roman" w:cs="Times New Roman"/>
                <w:sz w:val="22"/>
              </w:rPr>
              <w:t>1</w:t>
            </w:r>
            <w:r w:rsidR="00352422" w:rsidRPr="000F2D83">
              <w:rPr>
                <w:rFonts w:ascii="Times New Roman" w:hAnsi="Times New Roman" w:cs="Times New Roman"/>
                <w:sz w:val="22"/>
              </w:rPr>
              <w:t xml:space="preserve"> штук</w:t>
            </w:r>
            <w:r w:rsidRPr="000F2D83">
              <w:rPr>
                <w:rFonts w:ascii="Times New Roman" w:hAnsi="Times New Roman" w:cs="Times New Roman"/>
                <w:sz w:val="22"/>
              </w:rPr>
              <w:t xml:space="preserve">а для </w:t>
            </w:r>
            <w:r w:rsidRPr="000F2D83">
              <w:rPr>
                <w:rFonts w:ascii="Times New Roman" w:hAnsi="Times New Roman" w:cs="Times New Roman"/>
                <w:sz w:val="22"/>
                <w:lang w:val="en-US"/>
              </w:rPr>
              <w:t>Windows</w:t>
            </w:r>
            <w:r w:rsidR="00FD3D8B" w:rsidRPr="000F2D83">
              <w:rPr>
                <w:rFonts w:ascii="Times New Roman" w:hAnsi="Times New Roman" w:cs="Times New Roman"/>
                <w:sz w:val="22"/>
              </w:rPr>
              <w:t>;</w:t>
            </w:r>
          </w:p>
          <w:p w:rsidR="007D6901" w:rsidRPr="000F2D83" w:rsidRDefault="007D6901" w:rsidP="000546E9">
            <w:pPr>
              <w:rPr>
                <w:rFonts w:ascii="Times New Roman" w:hAnsi="Times New Roman" w:cs="Times New Roman"/>
                <w:sz w:val="22"/>
              </w:rPr>
            </w:pPr>
            <w:r w:rsidRPr="000F2D83">
              <w:rPr>
                <w:rFonts w:ascii="Times New Roman" w:hAnsi="Times New Roman" w:cs="Times New Roman"/>
                <w:sz w:val="22"/>
              </w:rPr>
              <w:t xml:space="preserve">1 штука для </w:t>
            </w:r>
            <w:r w:rsidRPr="000F2D83">
              <w:rPr>
                <w:rFonts w:ascii="Times New Roman" w:hAnsi="Times New Roman" w:cs="Times New Roman"/>
                <w:sz w:val="22"/>
                <w:lang w:val="en-US"/>
              </w:rPr>
              <w:t>Linux</w:t>
            </w:r>
          </w:p>
        </w:tc>
      </w:tr>
      <w:tr w:rsidR="000546E9" w:rsidRPr="000F2D83" w:rsidTr="00FD3D8B">
        <w:trPr>
          <w:trHeight w:val="926"/>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FD3D8B" w:rsidP="000546E9">
            <w:pPr>
              <w:rPr>
                <w:rFonts w:ascii="Times New Roman" w:hAnsi="Times New Roman" w:cs="Times New Roman"/>
                <w:sz w:val="22"/>
              </w:rPr>
            </w:pPr>
            <w:r w:rsidRPr="000F2D83">
              <w:rPr>
                <w:rFonts w:ascii="Times New Roman" w:hAnsi="Times New Roman" w:cs="Times New Roman"/>
                <w:sz w:val="22"/>
              </w:rPr>
              <w:t>8</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CF3173">
            <w:pPr>
              <w:rPr>
                <w:rFonts w:ascii="Times New Roman" w:hAnsi="Times New Roman" w:cs="Times New Roman"/>
                <w:sz w:val="22"/>
              </w:rPr>
            </w:pPr>
            <w:r w:rsidRPr="000F2D83">
              <w:rPr>
                <w:rFonts w:ascii="Times New Roman" w:hAnsi="Times New Roman" w:cs="Times New Roman"/>
                <w:sz w:val="22"/>
                <w:lang w:val="en-US"/>
              </w:rPr>
              <w:t xml:space="preserve">Требования </w:t>
            </w:r>
            <w:r w:rsidR="00CF3173" w:rsidRPr="000F2D83">
              <w:rPr>
                <w:rFonts w:ascii="Times New Roman" w:hAnsi="Times New Roman" w:cs="Times New Roman"/>
                <w:sz w:val="22"/>
              </w:rPr>
              <w:t>к поставщику</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CF3173" w:rsidRPr="000F2D83" w:rsidRDefault="00CF3173" w:rsidP="00CF3173">
            <w:pPr>
              <w:pStyle w:val="a8"/>
              <w:tabs>
                <w:tab w:val="left" w:pos="1689"/>
                <w:tab w:val="left" w:pos="1995"/>
              </w:tabs>
              <w:ind w:firstLine="0"/>
              <w:jc w:val="left"/>
              <w:rPr>
                <w:rFonts w:eastAsia="Calibri"/>
                <w:sz w:val="22"/>
                <w:szCs w:val="22"/>
                <w:lang w:eastAsia="en-US"/>
              </w:rPr>
            </w:pPr>
            <w:r w:rsidRPr="000F2D83">
              <w:rPr>
                <w:rFonts w:eastAsia="Calibri"/>
                <w:sz w:val="22"/>
                <w:szCs w:val="22"/>
                <w:lang w:eastAsia="en-US"/>
              </w:rPr>
              <w:t>Наличие лицензии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546E9" w:rsidRPr="000F2D83" w:rsidRDefault="000546E9" w:rsidP="00CF3173">
            <w:pPr>
              <w:pStyle w:val="a8"/>
              <w:tabs>
                <w:tab w:val="left" w:pos="1689"/>
                <w:tab w:val="left" w:pos="1995"/>
              </w:tabs>
              <w:ind w:firstLine="0"/>
              <w:jc w:val="left"/>
              <w:rPr>
                <w:rFonts w:eastAsia="Calibri"/>
                <w:sz w:val="22"/>
                <w:szCs w:val="22"/>
                <w:lang w:eastAsia="en-US"/>
              </w:rPr>
            </w:pPr>
            <w:r w:rsidRPr="000F2D83">
              <w:rPr>
                <w:rFonts w:eastAsia="Calibri"/>
                <w:sz w:val="22"/>
                <w:szCs w:val="22"/>
                <w:lang w:eastAsia="en-US"/>
              </w:rPr>
              <w:t xml:space="preserve">На момент предоставления простой неисключительной лицензии на использование ПО для ЭВМ, </w:t>
            </w:r>
            <w:r w:rsidR="00CF3173" w:rsidRPr="000F2D83">
              <w:rPr>
                <w:rFonts w:eastAsia="Calibri"/>
                <w:sz w:val="22"/>
                <w:szCs w:val="22"/>
                <w:lang w:eastAsia="en-US"/>
              </w:rPr>
              <w:t>поставщик</w:t>
            </w:r>
            <w:r w:rsidRPr="000F2D83">
              <w:rPr>
                <w:rFonts w:eastAsia="Calibri"/>
                <w:sz w:val="22"/>
                <w:szCs w:val="22"/>
                <w:lang w:eastAsia="en-US"/>
              </w:rPr>
              <w:t xml:space="preserve"> гарантирует что обладает всеми необходимыми правами для передачи лицензии, что оно не заложено, не арестовано, не является предметом исков третьих лиц и </w:t>
            </w:r>
            <w:r w:rsidR="00EE100E" w:rsidRPr="000F2D83">
              <w:rPr>
                <w:rFonts w:eastAsia="Calibri"/>
                <w:sz w:val="22"/>
                <w:szCs w:val="22"/>
                <w:lang w:eastAsia="en-US"/>
              </w:rPr>
              <w:t>является лицензионным продуктом;</w:t>
            </w:r>
          </w:p>
        </w:tc>
      </w:tr>
      <w:tr w:rsidR="000546E9" w:rsidRPr="000F2D83" w:rsidTr="00FD3D8B">
        <w:trPr>
          <w:trHeight w:val="926"/>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FD3D8B" w:rsidP="000546E9">
            <w:pPr>
              <w:rPr>
                <w:rFonts w:ascii="Times New Roman" w:hAnsi="Times New Roman" w:cs="Times New Roman"/>
                <w:sz w:val="22"/>
              </w:rPr>
            </w:pPr>
            <w:r w:rsidRPr="000F2D83">
              <w:rPr>
                <w:rFonts w:ascii="Times New Roman" w:hAnsi="Times New Roman" w:cs="Times New Roman"/>
                <w:sz w:val="22"/>
              </w:rPr>
              <w:t>9</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Форма поставки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FD3D8B" w:rsidP="00FD3D8B">
            <w:pPr>
              <w:pStyle w:val="a8"/>
              <w:tabs>
                <w:tab w:val="left" w:pos="1689"/>
                <w:tab w:val="left" w:pos="1995"/>
              </w:tabs>
              <w:ind w:firstLine="0"/>
              <w:jc w:val="left"/>
              <w:rPr>
                <w:rFonts w:eastAsia="Calibri"/>
                <w:sz w:val="22"/>
                <w:szCs w:val="22"/>
                <w:lang w:eastAsia="en-US"/>
              </w:rPr>
            </w:pPr>
            <w:r w:rsidRPr="000F2D83">
              <w:rPr>
                <w:rFonts w:eastAsia="Calibri"/>
                <w:sz w:val="22"/>
                <w:szCs w:val="22"/>
                <w:lang w:eastAsia="en-US"/>
              </w:rPr>
              <w:t>бумажная лицензия,</w:t>
            </w:r>
            <w:r w:rsidR="000546E9" w:rsidRPr="000F2D83">
              <w:rPr>
                <w:rFonts w:eastAsia="Calibri"/>
                <w:sz w:val="22"/>
                <w:szCs w:val="22"/>
                <w:lang w:eastAsia="en-US"/>
              </w:rPr>
              <w:t xml:space="preserve"> </w:t>
            </w:r>
            <w:r w:rsidRPr="000F2D83">
              <w:rPr>
                <w:rFonts w:eastAsia="Calibri"/>
                <w:sz w:val="22"/>
                <w:szCs w:val="22"/>
                <w:lang w:eastAsia="en-US"/>
              </w:rPr>
              <w:t>комплект документов для СКЗИ;</w:t>
            </w:r>
          </w:p>
        </w:tc>
      </w:tr>
      <w:tr w:rsidR="000546E9" w:rsidRPr="000F2D83" w:rsidTr="00FD3D8B">
        <w:trPr>
          <w:trHeight w:val="746"/>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FD3D8B" w:rsidP="000546E9">
            <w:pPr>
              <w:rPr>
                <w:rFonts w:ascii="Times New Roman" w:hAnsi="Times New Roman" w:cs="Times New Roman"/>
                <w:sz w:val="22"/>
              </w:rPr>
            </w:pPr>
            <w:r w:rsidRPr="000F2D83">
              <w:rPr>
                <w:rFonts w:ascii="Times New Roman" w:hAnsi="Times New Roman" w:cs="Times New Roman"/>
                <w:sz w:val="22"/>
              </w:rPr>
              <w:t>10</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rPr>
              <w:t>Виды работ</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D41624" w:rsidP="00EE100E">
            <w:pPr>
              <w:pStyle w:val="a8"/>
              <w:tabs>
                <w:tab w:val="left" w:pos="1689"/>
                <w:tab w:val="left" w:pos="1995"/>
              </w:tabs>
              <w:ind w:firstLine="0"/>
              <w:jc w:val="left"/>
              <w:rPr>
                <w:sz w:val="22"/>
                <w:szCs w:val="22"/>
              </w:rPr>
            </w:pPr>
            <w:r w:rsidRPr="000F2D83">
              <w:rPr>
                <w:rFonts w:eastAsia="Calibri"/>
                <w:sz w:val="22"/>
                <w:szCs w:val="22"/>
                <w:lang w:eastAsia="en-US"/>
              </w:rPr>
              <w:t>Инструктаж сотрудников, установка и настройка ПО</w:t>
            </w:r>
            <w:r w:rsidR="00EE100E" w:rsidRPr="000F2D83">
              <w:rPr>
                <w:rFonts w:eastAsia="Calibri"/>
                <w:sz w:val="22"/>
                <w:szCs w:val="22"/>
                <w:lang w:eastAsia="en-US"/>
              </w:rPr>
              <w:t>;</w:t>
            </w:r>
          </w:p>
        </w:tc>
      </w:tr>
      <w:tr w:rsidR="000546E9" w:rsidRPr="000F2D83" w:rsidTr="00FD3D8B">
        <w:trPr>
          <w:trHeight w:val="768"/>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352422" w:rsidP="00FD3D8B">
            <w:pPr>
              <w:rPr>
                <w:rFonts w:ascii="Times New Roman" w:hAnsi="Times New Roman" w:cs="Times New Roman"/>
                <w:sz w:val="22"/>
              </w:rPr>
            </w:pPr>
            <w:r w:rsidRPr="000F2D83">
              <w:rPr>
                <w:rFonts w:ascii="Times New Roman" w:hAnsi="Times New Roman" w:cs="Times New Roman"/>
                <w:sz w:val="22"/>
              </w:rPr>
              <w:t>1</w:t>
            </w:r>
            <w:r w:rsidR="00FD3D8B" w:rsidRPr="000F2D83">
              <w:rPr>
                <w:rFonts w:ascii="Times New Roman" w:hAnsi="Times New Roman" w:cs="Times New Roman"/>
                <w:sz w:val="22"/>
              </w:rPr>
              <w:t>1</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rPr>
              <w:t>Место выполнения работ</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B360DE" w:rsidP="00EE100E">
            <w:pPr>
              <w:pStyle w:val="a8"/>
              <w:tabs>
                <w:tab w:val="left" w:pos="1689"/>
                <w:tab w:val="left" w:pos="1995"/>
              </w:tabs>
              <w:ind w:firstLine="0"/>
              <w:jc w:val="left"/>
              <w:rPr>
                <w:rFonts w:eastAsia="Calibri"/>
                <w:sz w:val="22"/>
                <w:szCs w:val="22"/>
                <w:lang w:eastAsia="en-US"/>
              </w:rPr>
            </w:pPr>
            <w:r w:rsidRPr="000F2D83">
              <w:rPr>
                <w:rFonts w:eastAsia="Lucida Sans Unicode"/>
                <w:kern w:val="2"/>
                <w:sz w:val="22"/>
                <w:szCs w:val="22"/>
                <w:lang w:eastAsia="zh-CN" w:bidi="hi-IN"/>
              </w:rPr>
              <w:t>Лаборатория ПФО, г.Челябинск, ул. Красноармейская 101;</w:t>
            </w:r>
            <w:r w:rsidR="000546E9" w:rsidRPr="000F2D83">
              <w:rPr>
                <w:rFonts w:eastAsia="Calibri"/>
                <w:sz w:val="22"/>
                <w:szCs w:val="22"/>
                <w:lang w:eastAsia="en-US"/>
              </w:rPr>
              <w:t>в рабочие дни Заказчика, с 09-00 до 16-30 по местному времени</w:t>
            </w:r>
            <w:r w:rsidR="00EE100E" w:rsidRPr="000F2D83">
              <w:rPr>
                <w:rFonts w:eastAsia="Calibri"/>
                <w:sz w:val="22"/>
                <w:szCs w:val="22"/>
                <w:lang w:eastAsia="en-US"/>
              </w:rPr>
              <w:t>;</w:t>
            </w:r>
          </w:p>
        </w:tc>
      </w:tr>
      <w:tr w:rsidR="00D41624" w:rsidRPr="000F2D83" w:rsidTr="00FD3D8B">
        <w:trPr>
          <w:trHeight w:val="768"/>
        </w:trPr>
        <w:tc>
          <w:tcPr>
            <w:tcW w:w="660" w:type="dxa"/>
            <w:tcBorders>
              <w:top w:val="single" w:sz="4" w:space="0" w:color="000000"/>
              <w:left w:val="single" w:sz="4" w:space="0" w:color="000000"/>
              <w:bottom w:val="single" w:sz="4" w:space="0" w:color="000000"/>
            </w:tcBorders>
            <w:shd w:val="clear" w:color="auto" w:fill="auto"/>
          </w:tcPr>
          <w:p w:rsidR="00D41624" w:rsidRPr="000F2D83" w:rsidRDefault="00352422" w:rsidP="00FD3D8B">
            <w:pPr>
              <w:pStyle w:val="a8"/>
              <w:tabs>
                <w:tab w:val="left" w:pos="1689"/>
                <w:tab w:val="left" w:pos="1995"/>
              </w:tabs>
              <w:ind w:firstLine="0"/>
              <w:jc w:val="left"/>
              <w:rPr>
                <w:color w:val="1F1A17"/>
                <w:sz w:val="22"/>
                <w:szCs w:val="22"/>
              </w:rPr>
            </w:pPr>
            <w:r w:rsidRPr="000F2D83">
              <w:rPr>
                <w:color w:val="1F1A17"/>
                <w:sz w:val="22"/>
                <w:szCs w:val="22"/>
              </w:rPr>
              <w:lastRenderedPageBreak/>
              <w:t>1</w:t>
            </w:r>
            <w:r w:rsidR="00FD3D8B" w:rsidRPr="000F2D83">
              <w:rPr>
                <w:color w:val="1F1A17"/>
                <w:sz w:val="22"/>
                <w:szCs w:val="22"/>
              </w:rPr>
              <w:t>2</w:t>
            </w:r>
          </w:p>
        </w:tc>
        <w:tc>
          <w:tcPr>
            <w:tcW w:w="2709" w:type="dxa"/>
            <w:tcBorders>
              <w:top w:val="single" w:sz="4" w:space="0" w:color="000000"/>
              <w:left w:val="single" w:sz="4" w:space="0" w:color="000000"/>
              <w:bottom w:val="single" w:sz="4" w:space="0" w:color="000000"/>
            </w:tcBorders>
            <w:shd w:val="clear" w:color="auto" w:fill="auto"/>
          </w:tcPr>
          <w:p w:rsidR="00D41624" w:rsidRPr="000F2D83" w:rsidRDefault="00D41624" w:rsidP="00352422">
            <w:pPr>
              <w:pStyle w:val="a8"/>
              <w:tabs>
                <w:tab w:val="left" w:pos="1689"/>
                <w:tab w:val="left" w:pos="1995"/>
              </w:tabs>
              <w:ind w:firstLine="0"/>
              <w:jc w:val="left"/>
              <w:rPr>
                <w:color w:val="1F1A17"/>
                <w:sz w:val="22"/>
                <w:szCs w:val="22"/>
              </w:rPr>
            </w:pPr>
            <w:r w:rsidRPr="000F2D83">
              <w:rPr>
                <w:color w:val="1F1A17"/>
                <w:sz w:val="22"/>
                <w:szCs w:val="22"/>
              </w:rPr>
              <w:t>Дополнительные условия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D41624" w:rsidRPr="000F2D83" w:rsidRDefault="00D41624" w:rsidP="00352422">
            <w:pPr>
              <w:pStyle w:val="a8"/>
              <w:tabs>
                <w:tab w:val="left" w:pos="1689"/>
                <w:tab w:val="left" w:pos="1995"/>
              </w:tabs>
              <w:ind w:firstLine="0"/>
              <w:jc w:val="left"/>
              <w:rPr>
                <w:color w:val="1F1A17"/>
                <w:sz w:val="22"/>
                <w:szCs w:val="22"/>
              </w:rPr>
            </w:pPr>
            <w:r w:rsidRPr="000F2D83">
              <w:rPr>
                <w:color w:val="1F1A17"/>
                <w:sz w:val="22"/>
                <w:szCs w:val="22"/>
              </w:rPr>
              <w:t>Инструктаж сотрудников производится в день установки ПО;</w:t>
            </w:r>
          </w:p>
        </w:tc>
      </w:tr>
      <w:tr w:rsidR="000546E9" w:rsidRPr="000F2D83" w:rsidTr="00FD3D8B">
        <w:trPr>
          <w:trHeight w:val="926"/>
        </w:trPr>
        <w:tc>
          <w:tcPr>
            <w:tcW w:w="660" w:type="dxa"/>
            <w:tcBorders>
              <w:top w:val="single" w:sz="4" w:space="0" w:color="000000"/>
              <w:left w:val="single" w:sz="4" w:space="0" w:color="000000"/>
              <w:bottom w:val="single" w:sz="4" w:space="0" w:color="000000"/>
            </w:tcBorders>
            <w:shd w:val="clear" w:color="auto" w:fill="auto"/>
          </w:tcPr>
          <w:p w:rsidR="000546E9" w:rsidRPr="000F2D83" w:rsidRDefault="00352422" w:rsidP="00352422">
            <w:pPr>
              <w:rPr>
                <w:rFonts w:ascii="Times New Roman" w:hAnsi="Times New Roman" w:cs="Times New Roman"/>
                <w:sz w:val="22"/>
              </w:rPr>
            </w:pPr>
            <w:r w:rsidRPr="000F2D83">
              <w:rPr>
                <w:rFonts w:ascii="Times New Roman" w:hAnsi="Times New Roman" w:cs="Times New Roman"/>
                <w:sz w:val="22"/>
              </w:rPr>
              <w:t>13</w:t>
            </w:r>
          </w:p>
        </w:tc>
        <w:tc>
          <w:tcPr>
            <w:tcW w:w="2709" w:type="dxa"/>
            <w:tcBorders>
              <w:top w:val="single" w:sz="4" w:space="0" w:color="000000"/>
              <w:left w:val="single" w:sz="4" w:space="0" w:color="000000"/>
              <w:bottom w:val="single" w:sz="4" w:space="0" w:color="000000"/>
            </w:tcBorders>
            <w:shd w:val="clear" w:color="auto" w:fill="auto"/>
          </w:tcPr>
          <w:p w:rsidR="000546E9" w:rsidRPr="000F2D83" w:rsidRDefault="000546E9" w:rsidP="000546E9">
            <w:pPr>
              <w:rPr>
                <w:rFonts w:ascii="Times New Roman" w:hAnsi="Times New Roman" w:cs="Times New Roman"/>
                <w:sz w:val="22"/>
                <w:lang w:val="en-US"/>
              </w:rPr>
            </w:pPr>
            <w:r w:rsidRPr="000F2D83">
              <w:rPr>
                <w:rFonts w:ascii="Times New Roman" w:hAnsi="Times New Roman" w:cs="Times New Roman"/>
                <w:sz w:val="22"/>
                <w:lang w:val="en-US"/>
              </w:rPr>
              <w:t>Форма оплаты</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0546E9" w:rsidRPr="000F2D83" w:rsidRDefault="000546E9" w:rsidP="000546E9">
            <w:pPr>
              <w:rPr>
                <w:rFonts w:ascii="Times New Roman" w:hAnsi="Times New Roman" w:cs="Times New Roman"/>
                <w:sz w:val="22"/>
              </w:rPr>
            </w:pPr>
            <w:r w:rsidRPr="000F2D83">
              <w:rPr>
                <w:rFonts w:ascii="Times New Roman" w:hAnsi="Times New Roman" w:cs="Times New Roman"/>
                <w:sz w:val="22"/>
              </w:rPr>
              <w:t>В течение 45 (сорока пяти) рабочих дней с даты передачи неисключительной лицензии на программы для ЭВМ, на основании выставленного счета на оплату и акта приема-передачи неисключительной лицензии на программы для ЭВМ, подписанного обеими сторонами.</w:t>
            </w:r>
          </w:p>
        </w:tc>
      </w:tr>
    </w:tbl>
    <w:p w:rsidR="008E4CBB" w:rsidRPr="000F2D83" w:rsidRDefault="008E4CBB">
      <w:pPr>
        <w:pStyle w:val="a6"/>
        <w:ind w:left="737" w:hanging="737"/>
        <w:rPr>
          <w:sz w:val="22"/>
          <w:szCs w:val="22"/>
        </w:rPr>
      </w:pPr>
    </w:p>
    <w:tbl>
      <w:tblPr>
        <w:tblW w:w="4991" w:type="dxa"/>
        <w:tblLayout w:type="fixed"/>
        <w:tblCellMar>
          <w:left w:w="10" w:type="dxa"/>
          <w:right w:w="10" w:type="dxa"/>
        </w:tblCellMar>
        <w:tblLook w:val="04A0" w:firstRow="1" w:lastRow="0" w:firstColumn="1" w:lastColumn="0" w:noHBand="0" w:noVBand="1"/>
      </w:tblPr>
      <w:tblGrid>
        <w:gridCol w:w="2410"/>
        <w:gridCol w:w="2581"/>
      </w:tblGrid>
      <w:tr w:rsidR="000F2D83" w:rsidRPr="000F2D83" w:rsidTr="000F2D83">
        <w:tc>
          <w:tcPr>
            <w:tcW w:w="2410" w:type="dxa"/>
            <w:tcMar>
              <w:top w:w="0" w:type="dxa"/>
              <w:left w:w="108" w:type="dxa"/>
              <w:bottom w:w="0" w:type="dxa"/>
              <w:right w:w="108" w:type="dxa"/>
            </w:tcMar>
          </w:tcPr>
          <w:p w:rsidR="000F2D83" w:rsidRPr="000F2D83" w:rsidRDefault="000F2D83">
            <w:pPr>
              <w:pStyle w:val="Standard"/>
              <w:rPr>
                <w:color w:val="000000"/>
                <w:sz w:val="22"/>
                <w:szCs w:val="22"/>
                <w:shd w:val="clear" w:color="auto" w:fill="FFFFFF"/>
              </w:rPr>
            </w:pPr>
          </w:p>
        </w:tc>
        <w:tc>
          <w:tcPr>
            <w:tcW w:w="2581" w:type="dxa"/>
            <w:tcMar>
              <w:top w:w="0" w:type="dxa"/>
              <w:left w:w="108" w:type="dxa"/>
              <w:bottom w:w="0" w:type="dxa"/>
              <w:right w:w="108" w:type="dxa"/>
            </w:tcMar>
          </w:tcPr>
          <w:p w:rsidR="000F2D83" w:rsidRPr="000F2D83" w:rsidRDefault="000F2D83">
            <w:pPr>
              <w:pStyle w:val="Standard"/>
              <w:rPr>
                <w:sz w:val="22"/>
                <w:szCs w:val="22"/>
              </w:rPr>
            </w:pPr>
          </w:p>
        </w:tc>
      </w:tr>
    </w:tbl>
    <w:p w:rsidR="008E4CBB" w:rsidRDefault="008E4CBB">
      <w:pPr>
        <w:pStyle w:val="Standard"/>
        <w:rPr>
          <w:szCs w:val="28"/>
        </w:rPr>
      </w:pPr>
      <w:bookmarkStart w:id="0" w:name="_GoBack"/>
      <w:bookmarkEnd w:id="0"/>
    </w:p>
    <w:sectPr w:rsidR="008E4CBB">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F7" w:rsidRDefault="00FD3D8B">
      <w:r>
        <w:separator/>
      </w:r>
    </w:p>
  </w:endnote>
  <w:endnote w:type="continuationSeparator" w:id="0">
    <w:p w:rsidR="004140F7" w:rsidRDefault="00FD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Noto Sans CJK SC Regular">
    <w:charset w:val="00"/>
    <w:family w:val="auto"/>
    <w:pitch w:val="variable"/>
  </w:font>
  <w:font w:name="Lohit Devanagari">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F7" w:rsidRDefault="00FD3D8B">
      <w:r>
        <w:rPr>
          <w:color w:val="000000"/>
        </w:rPr>
        <w:separator/>
      </w:r>
    </w:p>
  </w:footnote>
  <w:footnote w:type="continuationSeparator" w:id="0">
    <w:p w:rsidR="004140F7" w:rsidRDefault="00FD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BE6"/>
    <w:multiLevelType w:val="multilevel"/>
    <w:tmpl w:val="D34ECF50"/>
    <w:styleLink w:val="WWNum3"/>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 w15:restartNumberingAfterBreak="0">
    <w:nsid w:val="14B47DFC"/>
    <w:multiLevelType w:val="multilevel"/>
    <w:tmpl w:val="DB44416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E8A4C99"/>
    <w:multiLevelType w:val="multilevel"/>
    <w:tmpl w:val="808C0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E0B31"/>
    <w:multiLevelType w:val="multilevel"/>
    <w:tmpl w:val="26DAFC26"/>
    <w:styleLink w:val="WWNum5"/>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4" w15:restartNumberingAfterBreak="0">
    <w:nsid w:val="47512405"/>
    <w:multiLevelType w:val="multilevel"/>
    <w:tmpl w:val="2862A120"/>
    <w:styleLink w:val="WWNum27"/>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BE21EA"/>
    <w:multiLevelType w:val="multilevel"/>
    <w:tmpl w:val="6A8ABEC0"/>
    <w:styleLink w:val="WWNum4"/>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6" w15:restartNumberingAfterBreak="0">
    <w:nsid w:val="71BB6BD4"/>
    <w:multiLevelType w:val="multilevel"/>
    <w:tmpl w:val="F8602FF8"/>
    <w:styleLink w:val="WWNum6"/>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7" w15:restartNumberingAfterBreak="0">
    <w:nsid w:val="73932585"/>
    <w:multiLevelType w:val="multilevel"/>
    <w:tmpl w:val="4AF86242"/>
    <w:styleLink w:val="WWNum1"/>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lvl>
    <w:lvl w:ilvl="4">
      <w:numFmt w:val="bullet"/>
      <w:lvlText w:val="•"/>
      <w:lvlJc w:val="left"/>
      <w:pPr>
        <w:ind w:left="3600" w:hanging="360"/>
      </w:pPr>
    </w:lvl>
    <w:lvl w:ilvl="5">
      <w:numFmt w:val="bullet"/>
      <w:lvlText w:val="•"/>
      <w:lvlJc w:val="right"/>
      <w:pPr>
        <w:ind w:left="4320" w:hanging="180"/>
      </w:pPr>
    </w:lvl>
    <w:lvl w:ilvl="6">
      <w:numFmt w:val="bullet"/>
      <w:lvlText w:val="•"/>
      <w:lvlJc w:val="left"/>
      <w:pPr>
        <w:ind w:left="5040" w:hanging="360"/>
      </w:pPr>
    </w:lvl>
    <w:lvl w:ilvl="7">
      <w:numFmt w:val="bullet"/>
      <w:lvlText w:val="•"/>
      <w:lvlJc w:val="left"/>
      <w:pPr>
        <w:ind w:left="5760" w:hanging="360"/>
      </w:pPr>
    </w:lvl>
    <w:lvl w:ilvl="8">
      <w:numFmt w:val="bullet"/>
      <w:lvlText w:val="•"/>
      <w:lvlJc w:val="right"/>
      <w:pPr>
        <w:ind w:left="6480" w:hanging="180"/>
      </w:pPr>
    </w:lvl>
  </w:abstractNum>
  <w:abstractNum w:abstractNumId="8" w15:restartNumberingAfterBreak="0">
    <w:nsid w:val="7AD76953"/>
    <w:multiLevelType w:val="multilevel"/>
    <w:tmpl w:val="DC2888F0"/>
    <w:styleLink w:val="WWNum2"/>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abstractNumId w:val="1"/>
  </w:num>
  <w:num w:numId="2">
    <w:abstractNumId w:val="7"/>
  </w:num>
  <w:num w:numId="3">
    <w:abstractNumId w:val="8"/>
  </w:num>
  <w:num w:numId="4">
    <w:abstractNumId w:val="0"/>
  </w:num>
  <w:num w:numId="5">
    <w:abstractNumId w:val="5"/>
  </w:num>
  <w:num w:numId="6">
    <w:abstractNumId w:val="3"/>
  </w:num>
  <w:num w:numId="7">
    <w:abstractNumId w:val="6"/>
  </w:num>
  <w:num w:numId="8">
    <w:abstractNumId w:val="4"/>
  </w:num>
  <w:num w:numId="9">
    <w:abstractNumId w:val="4"/>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BB"/>
    <w:rsid w:val="000546E9"/>
    <w:rsid w:val="000F2D83"/>
    <w:rsid w:val="00352422"/>
    <w:rsid w:val="004140F7"/>
    <w:rsid w:val="007D6901"/>
    <w:rsid w:val="008E4CBB"/>
    <w:rsid w:val="00952FA4"/>
    <w:rsid w:val="00B360DE"/>
    <w:rsid w:val="00B71DCD"/>
    <w:rsid w:val="00CF3173"/>
    <w:rsid w:val="00D41624"/>
    <w:rsid w:val="00EE100E"/>
    <w:rsid w:val="00FD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F61C2-6548-438F-B9A8-0099C63E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8"/>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Heading"/>
    <w:next w:val="Textbody"/>
    <w:pPr>
      <w:outlineLvl w:val="0"/>
    </w:pPr>
    <w:rPr>
      <w:rFonts w:ascii="Liberation Serif" w:eastAsia="DejaVu Sans" w:hAnsi="Liberation Serif" w:cs="DejaVu Sans"/>
      <w:b/>
      <w:bCs/>
      <w:sz w:val="48"/>
      <w:szCs w:val="48"/>
    </w:rPr>
  </w:style>
  <w:style w:type="paragraph" w:styleId="2">
    <w:name w:val="heading 2"/>
    <w:basedOn w:val="Heading"/>
    <w:next w:val="Textbody"/>
    <w:pPr>
      <w:spacing w:before="200"/>
      <w:outlineLvl w:val="1"/>
    </w:pPr>
    <w:rPr>
      <w:rFonts w:ascii="Liberation Serif" w:eastAsia="DejaVu Sans" w:hAnsi="Liberation Serif" w:cs="DejaVu Sans"/>
      <w:b/>
      <w:bCs/>
      <w:sz w:val="36"/>
      <w:szCs w:val="36"/>
    </w:rPr>
  </w:style>
  <w:style w:type="paragraph" w:styleId="5">
    <w:name w:val="heading 5"/>
    <w:basedOn w:val="Heading"/>
    <w:next w:val="Textbody"/>
    <w:pPr>
      <w:spacing w:before="120" w:after="60"/>
      <w:outlineLvl w:val="4"/>
    </w:pPr>
    <w:rPr>
      <w:rFonts w:ascii="Liberation Serif" w:eastAsia="DejaVu Sans" w:hAnsi="Liberation Serif" w:cs="DejaVu San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eastAsia="ar-SA"/>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Cs w:val="28"/>
    </w:rPr>
  </w:style>
  <w:style w:type="paragraph" w:customStyle="1" w:styleId="Textbody">
    <w:name w:val="Text body"/>
    <w:basedOn w:val="Standard"/>
    <w:pPr>
      <w:spacing w:after="140" w:line="276" w:lineRule="auto"/>
    </w:pPr>
  </w:style>
  <w:style w:type="paragraph" w:styleId="a3">
    <w:name w:val="List"/>
    <w:basedOn w:val="Textbody"/>
    <w:rPr>
      <w:rFonts w:cs="Lohit Devanagari"/>
      <w:sz w:val="24"/>
    </w:rPr>
  </w:style>
  <w:style w:type="paragraph" w:styleId="a4">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a5">
    <w:name w:val="Balloon Text"/>
    <w:basedOn w:val="Standard"/>
    <w:rPr>
      <w:rFonts w:ascii="Segoe UI" w:eastAsia="Segoe UI" w:hAnsi="Segoe UI" w:cs="Segoe UI"/>
      <w:sz w:val="18"/>
      <w:szCs w:val="18"/>
    </w:rPr>
  </w:style>
  <w:style w:type="paragraph" w:styleId="a6">
    <w:name w:val="List Paragraph"/>
    <w:basedOn w:val="Standard"/>
    <w:pPr>
      <w:ind w:left="720"/>
    </w:pPr>
  </w:style>
  <w:style w:type="paragraph" w:customStyle="1" w:styleId="ConsPlusNormal">
    <w:name w:val="ConsPlusNormal"/>
    <w:pPr>
      <w:autoSpaceDE w:val="0"/>
      <w:ind w:firstLine="720"/>
    </w:pPr>
    <w:rPr>
      <w:rFonts w:ascii="Arial" w:eastAsia="Times New Roman" w:hAnsi="Arial" w:cs="Arial"/>
      <w:sz w:val="20"/>
      <w:szCs w:val="20"/>
    </w:rPr>
  </w:style>
  <w:style w:type="paragraph" w:customStyle="1" w:styleId="TableContents">
    <w:name w:val="Table Contents"/>
    <w:basedOn w:val="Standard"/>
    <w:pPr>
      <w:suppressLineNumbers/>
    </w:pPr>
  </w:style>
  <w:style w:type="character" w:customStyle="1" w:styleId="a7">
    <w:name w:val="Текст выноски Знак"/>
    <w:basedOn w:val="a0"/>
    <w:rPr>
      <w:rFonts w:ascii="Segoe UI" w:eastAsia="Segoe UI" w:hAnsi="Segoe UI" w:cs="Segoe UI"/>
      <w:sz w:val="18"/>
      <w:szCs w:val="18"/>
    </w:rPr>
  </w:style>
  <w:style w:type="character" w:customStyle="1" w:styleId="ListLabel1">
    <w:name w:val="ListLabel 1"/>
    <w:rPr>
      <w:b/>
      <w:sz w:val="2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NumberingSymbols">
    <w:name w:val="Numbering Symbols"/>
    <w:rPr>
      <w:b w:val="0"/>
      <w:bCs w:val="0"/>
    </w:rPr>
  </w:style>
  <w:style w:type="character" w:customStyle="1" w:styleId="Internetlink">
    <w:name w:val="Internet link"/>
    <w:rPr>
      <w:color w:val="000080"/>
      <w:u w:val="single"/>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27">
    <w:name w:val="WWNum27"/>
    <w:basedOn w:val="a2"/>
    <w:pPr>
      <w:numPr>
        <w:numId w:val="8"/>
      </w:numPr>
    </w:p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9"/>
    <w:qFormat/>
    <w:rsid w:val="000546E9"/>
    <w:pPr>
      <w:widowControl/>
      <w:suppressAutoHyphens w:val="0"/>
      <w:autoSpaceDN/>
      <w:ind w:firstLine="709"/>
      <w:jc w:val="both"/>
      <w:textAlignment w:val="auto"/>
    </w:pPr>
    <w:rPr>
      <w:rFonts w:ascii="Times New Roman" w:eastAsia="MS Mincho" w:hAnsi="Times New Roman" w:cs="Times New Roman"/>
      <w:sz w:val="26"/>
      <w:szCs w:val="24"/>
      <w:lang w:eastAsia="ru-RU"/>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qFormat/>
    <w:rsid w:val="000546E9"/>
    <w:rPr>
      <w:rFonts w:ascii="Times New Roman" w:eastAsia="MS Mincho"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Татаринцев Кирилл Станиславович</dc:creator>
  <cp:lastModifiedBy>Еремина Алевтина Владимировна</cp:lastModifiedBy>
  <cp:revision>5</cp:revision>
  <cp:lastPrinted>2024-07-06T06:46:00Z</cp:lastPrinted>
  <dcterms:created xsi:type="dcterms:W3CDTF">2024-07-06T06:45:00Z</dcterms:created>
  <dcterms:modified xsi:type="dcterms:W3CDTF">2024-07-31T05:28:00Z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