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CB3F5E">
        <w:rPr>
          <w:b/>
          <w:sz w:val="28"/>
          <w:szCs w:val="28"/>
        </w:rPr>
        <w:t>2</w:t>
      </w:r>
      <w:r w:rsidR="00FE176B">
        <w:rPr>
          <w:b/>
          <w:sz w:val="28"/>
          <w:szCs w:val="28"/>
        </w:rPr>
        <w:t>4120103</w:t>
      </w:r>
      <w:r w:rsidR="005705F4">
        <w:rPr>
          <w:b/>
          <w:sz w:val="28"/>
          <w:szCs w:val="28"/>
        </w:rPr>
        <w:t>540</w:t>
      </w:r>
    </w:p>
    <w:p w:rsidR="00432D97" w:rsidRDefault="00FF18B4" w:rsidP="00062EBA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793715" w:rsidRDefault="00793715" w:rsidP="00793715">
      <w:pPr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57"/>
        <w:gridCol w:w="4435"/>
      </w:tblGrid>
      <w:tr w:rsidR="009E75C8" w:rsidRPr="009E75C8" w:rsidTr="009E75C8">
        <w:trPr>
          <w:trHeight w:val="300"/>
        </w:trPr>
        <w:tc>
          <w:tcPr>
            <w:tcW w:w="426" w:type="dxa"/>
            <w:shd w:val="clear" w:color="000000" w:fill="FFFFFF"/>
          </w:tcPr>
          <w:p w:rsidR="009E75C8" w:rsidRDefault="009E75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057" w:type="dxa"/>
            <w:shd w:val="clear" w:color="000000" w:fill="FFFFFF"/>
          </w:tcPr>
          <w:p w:rsidR="009E75C8" w:rsidRPr="009E75C8" w:rsidRDefault="009E75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435" w:type="dxa"/>
            <w:shd w:val="clear" w:color="000000" w:fill="FFFFFF"/>
          </w:tcPr>
          <w:p w:rsidR="009E75C8" w:rsidRPr="009E75C8" w:rsidRDefault="009E75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</w:t>
            </w:r>
          </w:p>
        </w:tc>
      </w:tr>
      <w:tr w:rsidR="009E75C8" w:rsidRPr="009E75C8" w:rsidTr="009E75C8">
        <w:trPr>
          <w:trHeight w:val="4410"/>
        </w:trPr>
        <w:tc>
          <w:tcPr>
            <w:tcW w:w="426" w:type="dxa"/>
            <w:shd w:val="clear" w:color="000000" w:fill="FFFFFF"/>
          </w:tcPr>
          <w:p w:rsidR="009E75C8" w:rsidRPr="009E75C8" w:rsidRDefault="009E75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7" w:type="dxa"/>
            <w:shd w:val="clear" w:color="000000" w:fill="FFFFFF"/>
            <w:hideMark/>
          </w:tcPr>
          <w:p w:rsidR="009E75C8" w:rsidRPr="009E75C8" w:rsidRDefault="009E75C8" w:rsidP="009E75C8">
            <w:pPr>
              <w:rPr>
                <w:sz w:val="22"/>
                <w:szCs w:val="22"/>
              </w:rPr>
            </w:pPr>
            <w:r w:rsidRPr="009E75C8">
              <w:rPr>
                <w:sz w:val="22"/>
                <w:szCs w:val="22"/>
              </w:rPr>
              <w:t>Интродьюсер</w:t>
            </w:r>
            <w:r>
              <w:rPr>
                <w:sz w:val="22"/>
                <w:szCs w:val="22"/>
              </w:rPr>
              <w:t xml:space="preserve"> </w:t>
            </w:r>
            <w:r w:rsidRPr="009E75C8">
              <w:rPr>
                <w:sz w:val="22"/>
                <w:szCs w:val="22"/>
              </w:rPr>
              <w:t xml:space="preserve">феморальный </w:t>
            </w:r>
            <w:r w:rsidRPr="009E75C8">
              <w:rPr>
                <w:sz w:val="22"/>
                <w:szCs w:val="22"/>
              </w:rPr>
              <w:br/>
            </w:r>
          </w:p>
        </w:tc>
        <w:tc>
          <w:tcPr>
            <w:tcW w:w="4435" w:type="dxa"/>
            <w:shd w:val="clear" w:color="000000" w:fill="FFFFFF"/>
            <w:hideMark/>
          </w:tcPr>
          <w:p w:rsidR="009E75C8" w:rsidRDefault="009E75C8" w:rsidP="009E75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Интродьюсер длиной 11см </w:t>
            </w:r>
            <w:r w:rsidRPr="009E75C8">
              <w:rPr>
                <w:sz w:val="22"/>
                <w:szCs w:val="22"/>
              </w:rPr>
              <w:t>с боковым полиуретановым портом для промывания, гемостатическим клапаном и 3-х ходовым краником. Стержень интродьюсера и дилататора</w:t>
            </w:r>
            <w:r>
              <w:rPr>
                <w:sz w:val="22"/>
                <w:szCs w:val="22"/>
              </w:rPr>
              <w:t xml:space="preserve"> рентгеноконтрастный, материал </w:t>
            </w:r>
            <w:r w:rsidRPr="009E75C8">
              <w:rPr>
                <w:sz w:val="22"/>
                <w:szCs w:val="22"/>
              </w:rPr>
              <w:t xml:space="preserve">полиэтилен или полипропилен, снабжен вращающимся кольцом для крепления с помощью нитей. Все детали упакованы в пластиковое кольцо, которое позволяет промывать компоненты и обеспечивает сохранность деталей. </w:t>
            </w:r>
            <w:r w:rsidRPr="009E75C8">
              <w:rPr>
                <w:b/>
                <w:bCs/>
                <w:sz w:val="22"/>
                <w:szCs w:val="22"/>
              </w:rPr>
              <w:t>Дилататор снабжен механизмом защелкивания</w:t>
            </w:r>
            <w:r>
              <w:rPr>
                <w:sz w:val="22"/>
                <w:szCs w:val="22"/>
              </w:rPr>
              <w:t xml:space="preserve"> для </w:t>
            </w:r>
            <w:r w:rsidRPr="009E75C8">
              <w:rPr>
                <w:sz w:val="22"/>
                <w:szCs w:val="22"/>
              </w:rPr>
              <w:t>минимизаци</w:t>
            </w:r>
            <w:r>
              <w:rPr>
                <w:sz w:val="22"/>
                <w:szCs w:val="22"/>
              </w:rPr>
              <w:t>и</w:t>
            </w:r>
            <w:r w:rsidRPr="009E75C8">
              <w:rPr>
                <w:sz w:val="22"/>
                <w:szCs w:val="22"/>
              </w:rPr>
              <w:t xml:space="preserve"> протекания крови и соскальзывания дилататора. Линия для промывания большого просвета. Наличие цветовой кодировки нитродьюсера, дилататора и </w:t>
            </w:r>
            <w:r>
              <w:rPr>
                <w:sz w:val="22"/>
                <w:szCs w:val="22"/>
              </w:rPr>
              <w:t>краника по внутреннему диаметру</w:t>
            </w:r>
            <w:r w:rsidRPr="009E75C8">
              <w:rPr>
                <w:sz w:val="22"/>
                <w:szCs w:val="22"/>
              </w:rPr>
              <w:t xml:space="preserve">, 5 (серый), Fr.  </w:t>
            </w:r>
          </w:p>
          <w:p w:rsidR="009E75C8" w:rsidRPr="009E75C8" w:rsidRDefault="009E75C8" w:rsidP="009E75C8">
            <w:pPr>
              <w:jc w:val="both"/>
              <w:rPr>
                <w:sz w:val="22"/>
                <w:szCs w:val="22"/>
              </w:rPr>
            </w:pPr>
            <w:r w:rsidRPr="009E75C8">
              <w:rPr>
                <w:sz w:val="22"/>
                <w:szCs w:val="22"/>
              </w:rPr>
              <w:t xml:space="preserve">Наличие дилататора, </w:t>
            </w:r>
            <w:r>
              <w:rPr>
                <w:sz w:val="22"/>
                <w:szCs w:val="22"/>
              </w:rPr>
              <w:t>обтуратора и проводника 0,035´´, 50см (для интродьюсеров 11см)</w:t>
            </w:r>
            <w:r w:rsidRPr="009E75C8">
              <w:rPr>
                <w:sz w:val="22"/>
                <w:szCs w:val="22"/>
              </w:rPr>
              <w:t xml:space="preserve">. Материал проводника нержавеющая сталь, </w:t>
            </w:r>
            <w:r w:rsidRPr="009E75C8">
              <w:rPr>
                <w:b/>
                <w:bCs/>
                <w:sz w:val="22"/>
                <w:szCs w:val="22"/>
              </w:rPr>
              <w:t>проводник имеет два рабочих кончика: гибкий J-кончик 3мм и прямой гибкий кончик.</w:t>
            </w:r>
            <w:r w:rsidRPr="009E75C8">
              <w:rPr>
                <w:sz w:val="22"/>
                <w:szCs w:val="22"/>
              </w:rPr>
              <w:t xml:space="preserve"> В наборе игла 18G.</w:t>
            </w:r>
          </w:p>
        </w:tc>
      </w:tr>
      <w:tr w:rsidR="009E75C8" w:rsidRPr="009E75C8" w:rsidTr="009E75C8">
        <w:trPr>
          <w:trHeight w:val="4410"/>
        </w:trPr>
        <w:tc>
          <w:tcPr>
            <w:tcW w:w="426" w:type="dxa"/>
            <w:shd w:val="clear" w:color="000000" w:fill="FFFFFF"/>
          </w:tcPr>
          <w:p w:rsidR="009E75C8" w:rsidRPr="009E75C8" w:rsidRDefault="009E75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7" w:type="dxa"/>
            <w:shd w:val="clear" w:color="000000" w:fill="FFFFFF"/>
            <w:hideMark/>
          </w:tcPr>
          <w:p w:rsidR="009E75C8" w:rsidRPr="009E75C8" w:rsidRDefault="009E75C8" w:rsidP="009E75C8">
            <w:pPr>
              <w:rPr>
                <w:sz w:val="22"/>
                <w:szCs w:val="22"/>
              </w:rPr>
            </w:pPr>
            <w:r w:rsidRPr="009E75C8">
              <w:rPr>
                <w:sz w:val="22"/>
                <w:szCs w:val="22"/>
              </w:rPr>
              <w:t>Интродьюсер феморальный</w:t>
            </w:r>
            <w:r w:rsidRPr="009E75C8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4435" w:type="dxa"/>
            <w:shd w:val="clear" w:color="000000" w:fill="FFFFFF"/>
            <w:hideMark/>
          </w:tcPr>
          <w:p w:rsidR="009E75C8" w:rsidRPr="009E75C8" w:rsidRDefault="009E75C8" w:rsidP="009E75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Интродьюсер длиной 11см </w:t>
            </w:r>
            <w:r w:rsidRPr="009E75C8">
              <w:rPr>
                <w:sz w:val="22"/>
                <w:szCs w:val="22"/>
              </w:rPr>
              <w:t>с боковым полиуретановым портом для промывания, гемостатическим клапаном и 3-х ходовым краником. Стержень интродьюсера и дилататора</w:t>
            </w:r>
            <w:r>
              <w:rPr>
                <w:sz w:val="22"/>
                <w:szCs w:val="22"/>
              </w:rPr>
              <w:t xml:space="preserve"> рентгеноконтрастный, материал </w:t>
            </w:r>
            <w:r w:rsidRPr="009E75C8">
              <w:rPr>
                <w:sz w:val="22"/>
                <w:szCs w:val="22"/>
              </w:rPr>
              <w:t xml:space="preserve">полиэтилен или полипропилен, снабжен вращающимся кольцом для крепления с помощью нитей. Все детали упакованы в пластиковое кольцо, которое позволяет промывать компоненты и обеспечивает сохранность деталей. </w:t>
            </w:r>
            <w:r w:rsidRPr="009E75C8">
              <w:rPr>
                <w:b/>
                <w:bCs/>
                <w:sz w:val="22"/>
                <w:szCs w:val="22"/>
              </w:rPr>
              <w:t>Дилататор снабжен механизмом защелкивания</w:t>
            </w:r>
            <w:r>
              <w:rPr>
                <w:sz w:val="22"/>
                <w:szCs w:val="22"/>
              </w:rPr>
              <w:t xml:space="preserve"> для </w:t>
            </w:r>
            <w:r w:rsidRPr="009E75C8">
              <w:rPr>
                <w:sz w:val="22"/>
                <w:szCs w:val="22"/>
              </w:rPr>
              <w:t>минимизаци</w:t>
            </w:r>
            <w:r>
              <w:rPr>
                <w:sz w:val="22"/>
                <w:szCs w:val="22"/>
              </w:rPr>
              <w:t>и</w:t>
            </w:r>
            <w:r w:rsidRPr="009E75C8">
              <w:rPr>
                <w:sz w:val="22"/>
                <w:szCs w:val="22"/>
              </w:rPr>
              <w:t xml:space="preserve"> протекания крови и соскальзывания дилататора. Линия для промывания большого просвета. Наличие цветовой кодировки нитродьюсера, дилататора и к</w:t>
            </w:r>
            <w:r>
              <w:rPr>
                <w:sz w:val="22"/>
                <w:szCs w:val="22"/>
              </w:rPr>
              <w:t xml:space="preserve">раника по внутреннему диаметру </w:t>
            </w:r>
            <w:r w:rsidRPr="009E75C8">
              <w:rPr>
                <w:sz w:val="22"/>
                <w:szCs w:val="22"/>
              </w:rPr>
              <w:t>6 (зеленый)</w:t>
            </w:r>
            <w:r>
              <w:rPr>
                <w:sz w:val="22"/>
                <w:szCs w:val="22"/>
              </w:rPr>
              <w:t xml:space="preserve"> </w:t>
            </w:r>
            <w:r w:rsidRPr="009E75C8">
              <w:rPr>
                <w:sz w:val="22"/>
                <w:szCs w:val="22"/>
              </w:rPr>
              <w:t xml:space="preserve">Fr.  Наличие дилататора, </w:t>
            </w:r>
            <w:r>
              <w:rPr>
                <w:sz w:val="22"/>
                <w:szCs w:val="22"/>
              </w:rPr>
              <w:t>обтуратора и проводника 0,035´´, 50см (для интродьюсеров 11см)</w:t>
            </w:r>
            <w:r w:rsidRPr="009E75C8">
              <w:rPr>
                <w:sz w:val="22"/>
                <w:szCs w:val="22"/>
              </w:rPr>
              <w:t xml:space="preserve">. Материал проводника нержавеющая сталь, </w:t>
            </w:r>
            <w:r w:rsidRPr="009E75C8">
              <w:rPr>
                <w:b/>
                <w:bCs/>
                <w:sz w:val="22"/>
                <w:szCs w:val="22"/>
              </w:rPr>
              <w:t>проводник имеет два рабочих кончика: гибкий J-кончик 3мм и прямой гибкий кончик.</w:t>
            </w:r>
            <w:r w:rsidRPr="009E75C8">
              <w:rPr>
                <w:sz w:val="22"/>
                <w:szCs w:val="22"/>
              </w:rPr>
              <w:t xml:space="preserve"> В наборе игла 18G.</w:t>
            </w:r>
          </w:p>
        </w:tc>
      </w:tr>
      <w:tr w:rsidR="009E75C8" w:rsidRPr="009E75C8" w:rsidTr="009E75C8">
        <w:trPr>
          <w:trHeight w:val="2100"/>
        </w:trPr>
        <w:tc>
          <w:tcPr>
            <w:tcW w:w="426" w:type="dxa"/>
          </w:tcPr>
          <w:p w:rsidR="009E75C8" w:rsidRPr="009E75C8" w:rsidRDefault="009E7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057" w:type="dxa"/>
            <w:shd w:val="clear" w:color="auto" w:fill="auto"/>
            <w:hideMark/>
          </w:tcPr>
          <w:p w:rsidR="009E75C8" w:rsidRPr="009E75C8" w:rsidRDefault="009E75C8" w:rsidP="009E75C8">
            <w:pPr>
              <w:rPr>
                <w:sz w:val="22"/>
                <w:szCs w:val="22"/>
              </w:rPr>
            </w:pPr>
            <w:r w:rsidRPr="009E75C8">
              <w:rPr>
                <w:sz w:val="22"/>
                <w:szCs w:val="22"/>
              </w:rPr>
              <w:t>Проводник диагностический, диаметр 0.035" (0.89 мм),  длина 180 ,260см (71"),  конфигурация кончика: J-tip 3 мм</w:t>
            </w:r>
            <w:r w:rsidRPr="009E75C8">
              <w:rPr>
                <w:sz w:val="22"/>
                <w:szCs w:val="22"/>
              </w:rPr>
              <w:br/>
            </w:r>
          </w:p>
        </w:tc>
        <w:tc>
          <w:tcPr>
            <w:tcW w:w="4435" w:type="dxa"/>
            <w:shd w:val="clear" w:color="auto" w:fill="auto"/>
            <w:hideMark/>
          </w:tcPr>
          <w:p w:rsidR="009E75C8" w:rsidRPr="009E75C8" w:rsidRDefault="009E75C8">
            <w:pPr>
              <w:rPr>
                <w:sz w:val="22"/>
                <w:szCs w:val="22"/>
              </w:rPr>
            </w:pPr>
            <w:r w:rsidRPr="009E75C8">
              <w:rPr>
                <w:sz w:val="22"/>
                <w:szCs w:val="22"/>
              </w:rPr>
              <w:t xml:space="preserve"> Диагностический проводник:  0,035" (0.89мм). Длина проводника 180 см.(проводники быстрой замены). Наличие  J-изогнутого кончика проводника.  Радиус J – загиба –3 мм.  Трехкомпонентный дизайн проводника - стержень, гибкая лента и PTFE (политетрафторэтилен) покрытие по всей длине, </w:t>
            </w:r>
            <w:r w:rsidRPr="009E75C8">
              <w:rPr>
                <w:b/>
                <w:bCs/>
                <w:sz w:val="22"/>
                <w:szCs w:val="22"/>
              </w:rPr>
              <w:t>нанесенное метом грунтовки</w:t>
            </w:r>
            <w:r w:rsidRPr="009E75C8">
              <w:rPr>
                <w:sz w:val="22"/>
                <w:szCs w:val="22"/>
              </w:rPr>
              <w:t xml:space="preserve"> и придающее проводнику зеленый цвет. Порт для промывания с механизмом Luer Lock. Проводник упаковон в пластиковое кольцо. Наличие выпрямителя J-кончика. Материал стержня проводника - нержавеющая сталь. </w:t>
            </w:r>
          </w:p>
        </w:tc>
      </w:tr>
      <w:tr w:rsidR="009E75C8" w:rsidRPr="009E75C8" w:rsidTr="009E75C8">
        <w:trPr>
          <w:trHeight w:val="3600"/>
        </w:trPr>
        <w:tc>
          <w:tcPr>
            <w:tcW w:w="426" w:type="dxa"/>
          </w:tcPr>
          <w:p w:rsidR="009E75C8" w:rsidRPr="009E75C8" w:rsidRDefault="009E75C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57" w:type="dxa"/>
            <w:shd w:val="clear" w:color="auto" w:fill="auto"/>
            <w:hideMark/>
          </w:tcPr>
          <w:p w:rsidR="009E75C8" w:rsidRPr="009E75C8" w:rsidRDefault="009E75C8" w:rsidP="009E75C8">
            <w:pPr>
              <w:rPr>
                <w:color w:val="000000"/>
                <w:sz w:val="22"/>
                <w:szCs w:val="22"/>
              </w:rPr>
            </w:pPr>
            <w:r w:rsidRPr="009E75C8">
              <w:rPr>
                <w:color w:val="000000"/>
                <w:sz w:val="22"/>
                <w:szCs w:val="22"/>
              </w:rPr>
              <w:t xml:space="preserve">Катетер диагностический Impress «Беренштайн» - Berenstein 5F </w:t>
            </w:r>
            <w:r w:rsidRPr="009E75C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435" w:type="dxa"/>
            <w:shd w:val="clear" w:color="auto" w:fill="auto"/>
            <w:vAlign w:val="bottom"/>
            <w:hideMark/>
          </w:tcPr>
          <w:p w:rsidR="009E75C8" w:rsidRPr="009E75C8" w:rsidRDefault="009E75C8">
            <w:pPr>
              <w:rPr>
                <w:color w:val="000000"/>
                <w:sz w:val="22"/>
                <w:szCs w:val="22"/>
              </w:rPr>
            </w:pPr>
            <w:r w:rsidRPr="009E75C8">
              <w:rPr>
                <w:color w:val="000000"/>
                <w:sz w:val="22"/>
                <w:szCs w:val="22"/>
              </w:rPr>
              <w:t>Катетер радиологический для проведения ангиографии.  Дизайн кончика Berenstein. Длина катетеров   125см, степень жестк</w:t>
            </w:r>
            <w:r>
              <w:rPr>
                <w:color w:val="000000"/>
                <w:sz w:val="22"/>
                <w:szCs w:val="22"/>
              </w:rPr>
              <w:t xml:space="preserve">ости Impress. Размер катетеров </w:t>
            </w:r>
            <w:r w:rsidRPr="009E75C8">
              <w:rPr>
                <w:color w:val="000000"/>
                <w:sz w:val="22"/>
                <w:szCs w:val="22"/>
              </w:rPr>
              <w:t>5F, Внутренний диаметр для катетеров 0.046" (1.17мм) для катетеров 5F. Рекомендованный проводник 0.038" (0.97мм).  Двойная стальная оплетка стенок катетеров. Сужающийся кончик катетера для облегчения позиционирования в сосуде. Материал кончика - сплав вольфрама для превосходной визуализации. Материал втулки катетера полиуретан. Конфигурация втулки: крылья. Дизайн втулки "аккордеон" с компенсацией натяжения. Максимальн</w:t>
            </w:r>
            <w:r>
              <w:rPr>
                <w:color w:val="000000"/>
                <w:sz w:val="22"/>
                <w:szCs w:val="22"/>
              </w:rPr>
              <w:t xml:space="preserve">ое давление 1200psi (81, 6 bar). </w:t>
            </w:r>
            <w:r w:rsidRPr="009E75C8">
              <w:rPr>
                <w:color w:val="000000"/>
                <w:sz w:val="22"/>
                <w:szCs w:val="22"/>
              </w:rPr>
              <w:t>Пропускная способность для сел</w:t>
            </w:r>
            <w:r>
              <w:rPr>
                <w:color w:val="000000"/>
                <w:sz w:val="22"/>
                <w:szCs w:val="22"/>
              </w:rPr>
              <w:t xml:space="preserve">ективных катетеров с оплеткой: </w:t>
            </w:r>
            <w:r w:rsidRPr="009E75C8">
              <w:rPr>
                <w:color w:val="000000"/>
                <w:sz w:val="22"/>
                <w:szCs w:val="22"/>
              </w:rPr>
              <w:t xml:space="preserve">для катетеров 5F длиной 30см 20 мл/сек, 40см - 27 мл/сек, 65см - 20 мл/сек, 80см - 20 мл/сек, 100см - 15 мл/сек, 110см - 15 мл/сек, 125см - 15 мл/сек.  Упакован в стерильную упаковку. </w:t>
            </w:r>
          </w:p>
        </w:tc>
      </w:tr>
      <w:tr w:rsidR="009E75C8" w:rsidRPr="009E75C8" w:rsidTr="009E75C8">
        <w:trPr>
          <w:trHeight w:val="2400"/>
        </w:trPr>
        <w:tc>
          <w:tcPr>
            <w:tcW w:w="426" w:type="dxa"/>
          </w:tcPr>
          <w:p w:rsidR="009E75C8" w:rsidRPr="009E75C8" w:rsidRDefault="009E75C8" w:rsidP="009E7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57" w:type="dxa"/>
            <w:shd w:val="clear" w:color="auto" w:fill="auto"/>
            <w:hideMark/>
          </w:tcPr>
          <w:p w:rsidR="009E75C8" w:rsidRPr="009E75C8" w:rsidRDefault="009E75C8" w:rsidP="009E75C8">
            <w:pPr>
              <w:rPr>
                <w:color w:val="000000"/>
                <w:sz w:val="22"/>
                <w:szCs w:val="22"/>
              </w:rPr>
            </w:pPr>
            <w:r w:rsidRPr="009E75C8">
              <w:rPr>
                <w:color w:val="000000"/>
                <w:sz w:val="22"/>
                <w:szCs w:val="22"/>
              </w:rPr>
              <w:t xml:space="preserve">Катетер диагностический вертебральный - Vertebral 5F </w:t>
            </w:r>
            <w:r w:rsidRPr="009E75C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435" w:type="dxa"/>
            <w:shd w:val="clear" w:color="auto" w:fill="auto"/>
            <w:vAlign w:val="bottom"/>
            <w:hideMark/>
          </w:tcPr>
          <w:p w:rsidR="009E75C8" w:rsidRPr="009E75C8" w:rsidRDefault="009E75C8">
            <w:pPr>
              <w:rPr>
                <w:color w:val="000000"/>
                <w:sz w:val="22"/>
                <w:szCs w:val="22"/>
              </w:rPr>
            </w:pPr>
            <w:r w:rsidRPr="009E75C8">
              <w:rPr>
                <w:color w:val="000000"/>
                <w:sz w:val="22"/>
                <w:szCs w:val="22"/>
              </w:rPr>
              <w:t>Катетер диагностический для проведения коронарографии. Дизайн кончика Vertebral. Длина катетеров   100см, степень жесткости</w:t>
            </w:r>
            <w:r>
              <w:rPr>
                <w:color w:val="000000"/>
                <w:sz w:val="22"/>
                <w:szCs w:val="22"/>
              </w:rPr>
              <w:t xml:space="preserve"> performa. Размер катетеров </w:t>
            </w:r>
            <w:r w:rsidRPr="009E75C8">
              <w:rPr>
                <w:color w:val="000000"/>
                <w:sz w:val="22"/>
                <w:szCs w:val="22"/>
              </w:rPr>
              <w:t>5F. Вн</w:t>
            </w:r>
            <w:r>
              <w:rPr>
                <w:color w:val="000000"/>
                <w:sz w:val="22"/>
                <w:szCs w:val="22"/>
              </w:rPr>
              <w:t xml:space="preserve">утренний диаметр для катетеров </w:t>
            </w:r>
            <w:r w:rsidRPr="009E75C8">
              <w:rPr>
                <w:color w:val="000000"/>
                <w:sz w:val="22"/>
                <w:szCs w:val="22"/>
              </w:rPr>
              <w:t xml:space="preserve">0.046" (1.17мм) для катетеров 5F.  Рекомендованный проводник 0.038" (0.97мм).  Двойная стальная оплетка стенок катетеров. Материал катетера нейлон пебакс. Материал втулки катетера поликарбонат. Конфигурация втулки: крылья. Максимальное давление 1200psi (81, 6 bar). Пропускная способность: Для катетеров 5F с внутренним просветом 0.046" длиной длиной   100см - 15мл/сек.  Упакован в стерильную упаковку. </w:t>
            </w:r>
          </w:p>
        </w:tc>
      </w:tr>
      <w:tr w:rsidR="009E75C8" w:rsidRPr="009E75C8" w:rsidTr="009E75C8">
        <w:trPr>
          <w:trHeight w:val="2400"/>
        </w:trPr>
        <w:tc>
          <w:tcPr>
            <w:tcW w:w="426" w:type="dxa"/>
          </w:tcPr>
          <w:p w:rsidR="009E75C8" w:rsidRPr="009E75C8" w:rsidRDefault="009E75C8" w:rsidP="009E7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057" w:type="dxa"/>
            <w:shd w:val="clear" w:color="auto" w:fill="auto"/>
            <w:hideMark/>
          </w:tcPr>
          <w:p w:rsidR="009E75C8" w:rsidRPr="009E75C8" w:rsidRDefault="009E75C8" w:rsidP="009E75C8">
            <w:pPr>
              <w:rPr>
                <w:color w:val="000000"/>
                <w:sz w:val="22"/>
                <w:szCs w:val="22"/>
              </w:rPr>
            </w:pPr>
            <w:r w:rsidRPr="009E75C8">
              <w:rPr>
                <w:color w:val="000000"/>
                <w:sz w:val="22"/>
                <w:szCs w:val="22"/>
              </w:rPr>
              <w:t>Иглы для ангиографии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5C8">
              <w:rPr>
                <w:color w:val="000000"/>
                <w:sz w:val="22"/>
                <w:szCs w:val="22"/>
              </w:rPr>
              <w:t>21G(0,8мм)x40мм, тонкостенная.</w:t>
            </w:r>
            <w:r w:rsidRPr="009E75C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435" w:type="dxa"/>
            <w:shd w:val="clear" w:color="auto" w:fill="auto"/>
            <w:vAlign w:val="bottom"/>
            <w:hideMark/>
          </w:tcPr>
          <w:p w:rsidR="009E75C8" w:rsidRPr="009E75C8" w:rsidRDefault="009E7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Металлическая игла с длиной </w:t>
            </w:r>
            <w:r w:rsidRPr="009E75C8">
              <w:rPr>
                <w:color w:val="000000"/>
                <w:sz w:val="22"/>
                <w:szCs w:val="22"/>
              </w:rPr>
              <w:t>4.0 см, наличие диаметра 21G. Нал</w:t>
            </w:r>
            <w:r w:rsidR="003077D6">
              <w:rPr>
                <w:color w:val="000000"/>
                <w:sz w:val="22"/>
                <w:szCs w:val="22"/>
              </w:rPr>
              <w:t xml:space="preserve">ичие цветовой кодировки втулки </w:t>
            </w:r>
            <w:r w:rsidRPr="009E75C8">
              <w:rPr>
                <w:color w:val="000000"/>
                <w:sz w:val="22"/>
                <w:szCs w:val="22"/>
              </w:rPr>
              <w:t>зеленый (21G). Наличие иглы С-конфигурации для облегчения позиционирования диализного катетера.  Наличие ребристой рукоятки и выступа на втулке с ориентацией на угол среза иглы. Уникальный угол среза иглы. Количество частей 1. Совместимость с проводником в зависимости от размера иглы: 0.021" (21G).  Материал канюли нержавеющая сталь. Наличие силиконового покрытия всей поверхности иглы для облегчения проведения через тк</w:t>
            </w:r>
            <w:r>
              <w:rPr>
                <w:color w:val="000000"/>
                <w:sz w:val="22"/>
                <w:szCs w:val="22"/>
              </w:rPr>
              <w:t xml:space="preserve">ани.  Вариация толщины стенки: </w:t>
            </w:r>
            <w:r w:rsidRPr="009E75C8">
              <w:rPr>
                <w:color w:val="000000"/>
                <w:sz w:val="22"/>
                <w:szCs w:val="22"/>
              </w:rPr>
              <w:t xml:space="preserve">тонкая. </w:t>
            </w:r>
          </w:p>
        </w:tc>
      </w:tr>
    </w:tbl>
    <w:p w:rsidR="00AE4489" w:rsidRDefault="00AE4489" w:rsidP="00BA72CE">
      <w:pPr>
        <w:jc w:val="both"/>
        <w:rPr>
          <w:b/>
        </w:rPr>
      </w:pPr>
    </w:p>
    <w:p w:rsidR="00665E09" w:rsidRPr="00665E09" w:rsidRDefault="00665E09" w:rsidP="00665E09">
      <w:pPr>
        <w:jc w:val="both"/>
      </w:pPr>
      <w:r w:rsidRPr="00665E09">
        <w:t xml:space="preserve">Срок поставки Товара: в течение </w:t>
      </w:r>
      <w:r w:rsidR="003077D6">
        <w:t>7</w:t>
      </w:r>
      <w:r w:rsidRPr="00665E09">
        <w:t xml:space="preserve"> (</w:t>
      </w:r>
      <w:r w:rsidR="003077D6">
        <w:t>семи</w:t>
      </w:r>
      <w:bookmarkStart w:id="0" w:name="_GoBack"/>
      <w:bookmarkEnd w:id="0"/>
      <w:r w:rsidRPr="00665E09">
        <w:t xml:space="preserve">) </w:t>
      </w:r>
      <w:r w:rsidR="005705F4">
        <w:t>рабочи</w:t>
      </w:r>
      <w:r w:rsidR="00062EBA">
        <w:t>х</w:t>
      </w:r>
      <w:r w:rsidRPr="00665E09">
        <w:t xml:space="preserve"> дней с мо</w:t>
      </w:r>
      <w:r>
        <w:t>мента оформления заказа в АСЗ «Э</w:t>
      </w:r>
      <w:r w:rsidRPr="00665E09">
        <w:t xml:space="preserve">лектронный магазин», по адресу: Забайкальский край, </w:t>
      </w:r>
      <w:r>
        <w:t xml:space="preserve">г. Чита, ул. Ленина, 4. </w:t>
      </w:r>
    </w:p>
    <w:p w:rsidR="00714271" w:rsidRDefault="00665E09" w:rsidP="00BA72CE">
      <w:pPr>
        <w:jc w:val="both"/>
        <w:rPr>
          <w:b/>
          <w:i/>
        </w:rPr>
      </w:pPr>
      <w:r w:rsidRPr="00665E09">
        <w:t>Гарантийный срок на товар: Должен составлять не менее 80% от срока годности, установленного производителем.</w:t>
      </w:r>
    </w:p>
    <w:p w:rsidR="00062EBA" w:rsidRDefault="00062EBA" w:rsidP="00BA72CE">
      <w:pPr>
        <w:jc w:val="both"/>
        <w:rPr>
          <w:b/>
          <w:i/>
        </w:rPr>
      </w:pPr>
    </w:p>
    <w:p w:rsidR="00062EBA" w:rsidRDefault="00062EBA" w:rsidP="00BA72CE">
      <w:pPr>
        <w:jc w:val="both"/>
        <w:rPr>
          <w:b/>
          <w:i/>
        </w:rPr>
      </w:pPr>
    </w:p>
    <w:p w:rsidR="00062EBA" w:rsidRDefault="00062EBA" w:rsidP="00BA72CE">
      <w:pPr>
        <w:jc w:val="both"/>
        <w:rPr>
          <w:b/>
          <w:i/>
        </w:rPr>
      </w:pPr>
    </w:p>
    <w:p w:rsidR="00062EBA" w:rsidRDefault="00062EBA" w:rsidP="00BA72CE">
      <w:pPr>
        <w:jc w:val="both"/>
        <w:rPr>
          <w:b/>
          <w:i/>
        </w:rPr>
      </w:pPr>
    </w:p>
    <w:p w:rsidR="00062EBA" w:rsidRDefault="00062EBA" w:rsidP="00BA72CE">
      <w:pPr>
        <w:jc w:val="both"/>
        <w:rPr>
          <w:b/>
          <w:i/>
        </w:rPr>
      </w:pPr>
    </w:p>
    <w:p w:rsidR="00062EBA" w:rsidRDefault="00062EBA" w:rsidP="00BA72CE">
      <w:pPr>
        <w:jc w:val="both"/>
        <w:rPr>
          <w:b/>
          <w:i/>
        </w:rPr>
      </w:pPr>
    </w:p>
    <w:p w:rsidR="00062EBA" w:rsidRDefault="00062EBA" w:rsidP="00BA72CE">
      <w:pPr>
        <w:jc w:val="both"/>
        <w:rPr>
          <w:b/>
          <w:i/>
        </w:rPr>
      </w:pPr>
    </w:p>
    <w:p w:rsidR="00BA72CE" w:rsidRDefault="003077D6" w:rsidP="00BA72CE">
      <w:pPr>
        <w:jc w:val="both"/>
      </w:pPr>
      <w:r>
        <w:rPr>
          <w:b/>
          <w:i/>
        </w:rPr>
        <w:t>Директор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 w:rsidR="00694871">
        <w:rPr>
          <w:b/>
          <w:i/>
        </w:rPr>
        <w:t xml:space="preserve">                </w:t>
      </w:r>
      <w:r>
        <w:rPr>
          <w:b/>
          <w:i/>
        </w:rPr>
        <w:t xml:space="preserve">  </w:t>
      </w:r>
      <w:r w:rsidRPr="00FC3217">
        <w:rPr>
          <w:b/>
          <w:i/>
        </w:rPr>
        <w:t xml:space="preserve">________________ </w:t>
      </w:r>
      <w:r w:rsidR="003077D6">
        <w:rPr>
          <w:b/>
          <w:i/>
        </w:rPr>
        <w:t>В.Ю. Макаров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64" w:rsidRDefault="00D36E64" w:rsidP="000F1393">
      <w:r>
        <w:separator/>
      </w:r>
    </w:p>
  </w:endnote>
  <w:endnote w:type="continuationSeparator" w:id="0">
    <w:p w:rsidR="00D36E64" w:rsidRDefault="00D36E64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64" w:rsidRDefault="00D36E64" w:rsidP="000F1393">
      <w:r>
        <w:separator/>
      </w:r>
    </w:p>
  </w:footnote>
  <w:footnote w:type="continuationSeparator" w:id="0">
    <w:p w:rsidR="00D36E64" w:rsidRDefault="00D36E64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63F6"/>
    <w:multiLevelType w:val="hybridMultilevel"/>
    <w:tmpl w:val="47CE3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2035F6"/>
    <w:multiLevelType w:val="multilevel"/>
    <w:tmpl w:val="8D88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9" w15:restartNumberingAfterBreak="0">
    <w:nsid w:val="25707928"/>
    <w:multiLevelType w:val="multilevel"/>
    <w:tmpl w:val="888A853C"/>
    <w:lvl w:ilvl="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4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7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F6342"/>
    <w:multiLevelType w:val="hybridMultilevel"/>
    <w:tmpl w:val="7E40C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684D"/>
    <w:multiLevelType w:val="hybridMultilevel"/>
    <w:tmpl w:val="AE52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B90776F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124E6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113DE9"/>
    <w:multiLevelType w:val="hybridMultilevel"/>
    <w:tmpl w:val="9C724292"/>
    <w:lvl w:ilvl="0" w:tplc="277C1A72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6AF6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FEF6D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2D08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25C7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895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E9A2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6707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617C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5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31"/>
  </w:num>
  <w:num w:numId="5">
    <w:abstractNumId w:val="1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6"/>
  </w:num>
  <w:num w:numId="13">
    <w:abstractNumId w:val="4"/>
  </w:num>
  <w:num w:numId="14">
    <w:abstractNumId w:val="36"/>
  </w:num>
  <w:num w:numId="15">
    <w:abstractNumId w:val="32"/>
  </w:num>
  <w:num w:numId="16">
    <w:abstractNumId w:val="6"/>
  </w:num>
  <w:num w:numId="17">
    <w:abstractNumId w:val="0"/>
  </w:num>
  <w:num w:numId="18">
    <w:abstractNumId w:val="21"/>
  </w:num>
  <w:num w:numId="19">
    <w:abstractNumId w:val="10"/>
  </w:num>
  <w:num w:numId="20">
    <w:abstractNumId w:val="35"/>
  </w:num>
  <w:num w:numId="21">
    <w:abstractNumId w:val="25"/>
  </w:num>
  <w:num w:numId="22">
    <w:abstractNumId w:val="15"/>
  </w:num>
  <w:num w:numId="23">
    <w:abstractNumId w:val="18"/>
  </w:num>
  <w:num w:numId="24">
    <w:abstractNumId w:val="17"/>
  </w:num>
  <w:num w:numId="25">
    <w:abstractNumId w:val="34"/>
  </w:num>
  <w:num w:numId="26">
    <w:abstractNumId w:val="28"/>
  </w:num>
  <w:num w:numId="27">
    <w:abstractNumId w:val="11"/>
  </w:num>
  <w:num w:numId="28">
    <w:abstractNumId w:val="27"/>
  </w:num>
  <w:num w:numId="29">
    <w:abstractNumId w:val="33"/>
  </w:num>
  <w:num w:numId="30">
    <w:abstractNumId w:val="2"/>
  </w:num>
  <w:num w:numId="31">
    <w:abstractNumId w:val="29"/>
  </w:num>
  <w:num w:numId="32">
    <w:abstractNumId w:val="24"/>
  </w:num>
  <w:num w:numId="33">
    <w:abstractNumId w:val="8"/>
  </w:num>
  <w:num w:numId="34">
    <w:abstractNumId w:val="7"/>
  </w:num>
  <w:num w:numId="35">
    <w:abstractNumId w:val="19"/>
  </w:num>
  <w:num w:numId="36">
    <w:abstractNumId w:val="9"/>
  </w:num>
  <w:num w:numId="37">
    <w:abstractNumId w:val="3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452B"/>
    <w:rsid w:val="00046315"/>
    <w:rsid w:val="00047D08"/>
    <w:rsid w:val="000502E9"/>
    <w:rsid w:val="00051D79"/>
    <w:rsid w:val="000546B0"/>
    <w:rsid w:val="00056A9E"/>
    <w:rsid w:val="00056FBA"/>
    <w:rsid w:val="0006078D"/>
    <w:rsid w:val="00062074"/>
    <w:rsid w:val="00062D3A"/>
    <w:rsid w:val="00062EBA"/>
    <w:rsid w:val="00065FC7"/>
    <w:rsid w:val="00067A08"/>
    <w:rsid w:val="0007174D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48F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544E6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3CDA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50C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7D6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2D97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05F4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6BAE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2600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5E09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94871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14271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715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41009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133"/>
    <w:rsid w:val="00940356"/>
    <w:rsid w:val="009431E2"/>
    <w:rsid w:val="00945CB9"/>
    <w:rsid w:val="00946252"/>
    <w:rsid w:val="00946BF0"/>
    <w:rsid w:val="009510FF"/>
    <w:rsid w:val="009520DE"/>
    <w:rsid w:val="009538B9"/>
    <w:rsid w:val="00953ABB"/>
    <w:rsid w:val="0095694D"/>
    <w:rsid w:val="00964298"/>
    <w:rsid w:val="009658B6"/>
    <w:rsid w:val="00966C59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961DE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E75C8"/>
    <w:rsid w:val="009F270E"/>
    <w:rsid w:val="009F5FA0"/>
    <w:rsid w:val="009F7499"/>
    <w:rsid w:val="00A04036"/>
    <w:rsid w:val="00A06DF0"/>
    <w:rsid w:val="00A070EA"/>
    <w:rsid w:val="00A11CB6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5090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FC4"/>
    <w:rsid w:val="00B66296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079E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86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092E"/>
    <w:rsid w:val="00E52161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2F6C"/>
    <w:rsid w:val="00EF36DD"/>
    <w:rsid w:val="00EF79DB"/>
    <w:rsid w:val="00F1018F"/>
    <w:rsid w:val="00F1170B"/>
    <w:rsid w:val="00F12C96"/>
    <w:rsid w:val="00F2087D"/>
    <w:rsid w:val="00F2098C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176B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66B46"/>
  <w15:docId w15:val="{A7284D35-8B7B-4893-8D5C-8ECAA56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table" w:customStyle="1" w:styleId="TableGrid">
    <w:name w:val="TableGrid"/>
    <w:rsid w:val="00432D9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2320b7f29f5002ba333feb8ddeee97f57121fd2094c0521bd6ff683d8d0a42f228bf8a64b8551e1msonormal">
    <w:name w:val="72320b7f29f5002ba333feb8ddeee97f57121fd2094c0521bd6ff683d8d0a42f228bf8a64b8551e1msonormal"/>
    <w:basedOn w:val="a"/>
    <w:rsid w:val="00A11CB6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1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D949-7D92-4176-8C3F-6E66A8FB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31</cp:revision>
  <cp:lastPrinted>2024-04-19T01:01:00Z</cp:lastPrinted>
  <dcterms:created xsi:type="dcterms:W3CDTF">2023-07-05T07:46:00Z</dcterms:created>
  <dcterms:modified xsi:type="dcterms:W3CDTF">2024-05-13T05:42:00Z</dcterms:modified>
</cp:coreProperties>
</file>