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3F4060">
        <w:rPr>
          <w:b/>
          <w:sz w:val="28"/>
          <w:szCs w:val="28"/>
        </w:rPr>
        <w:t>2</w:t>
      </w:r>
      <w:r w:rsidR="00E24058">
        <w:rPr>
          <w:b/>
          <w:sz w:val="28"/>
          <w:szCs w:val="28"/>
        </w:rPr>
        <w:t>41201050</w:t>
      </w:r>
      <w:r w:rsidR="006535DB">
        <w:rPr>
          <w:b/>
          <w:sz w:val="28"/>
          <w:szCs w:val="28"/>
        </w:rPr>
        <w:t>80</w:t>
      </w:r>
    </w:p>
    <w:p w:rsidR="00CD79EC" w:rsidRDefault="00FF18B4" w:rsidP="00CD79EC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7109F0" w:rsidRPr="00392B31" w:rsidRDefault="007109F0" w:rsidP="00392B31">
      <w:pPr>
        <w:jc w:val="center"/>
        <w:rPr>
          <w:b/>
        </w:rPr>
      </w:pPr>
    </w:p>
    <w:tbl>
      <w:tblPr>
        <w:tblStyle w:val="ac"/>
        <w:tblW w:w="9380" w:type="dxa"/>
        <w:tblLook w:val="04A0" w:firstRow="1" w:lastRow="0" w:firstColumn="1" w:lastColumn="0" w:noHBand="0" w:noVBand="1"/>
      </w:tblPr>
      <w:tblGrid>
        <w:gridCol w:w="940"/>
        <w:gridCol w:w="2751"/>
        <w:gridCol w:w="5820"/>
      </w:tblGrid>
      <w:tr w:rsidR="00B2487A" w:rsidRPr="006535DB" w:rsidTr="006535DB">
        <w:trPr>
          <w:trHeight w:val="253"/>
        </w:trPr>
        <w:tc>
          <w:tcPr>
            <w:tcW w:w="940" w:type="dxa"/>
            <w:vMerge w:val="restart"/>
            <w:noWrap/>
            <w:hideMark/>
          </w:tcPr>
          <w:p w:rsidR="00B2487A" w:rsidRPr="006535DB" w:rsidRDefault="00B248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35D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0" w:type="dxa"/>
            <w:vMerge w:val="restart"/>
            <w:noWrap/>
            <w:hideMark/>
          </w:tcPr>
          <w:p w:rsidR="00B2487A" w:rsidRPr="006535DB" w:rsidRDefault="00B248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35D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20" w:type="dxa"/>
            <w:vMerge w:val="restart"/>
            <w:noWrap/>
            <w:hideMark/>
          </w:tcPr>
          <w:p w:rsidR="00B2487A" w:rsidRPr="006535DB" w:rsidRDefault="00B2487A">
            <w:pPr>
              <w:jc w:val="center"/>
              <w:rPr>
                <w:b/>
                <w:bCs/>
                <w:sz w:val="20"/>
                <w:szCs w:val="20"/>
              </w:rPr>
            </w:pPr>
            <w:r w:rsidRPr="006535DB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</w:tr>
      <w:tr w:rsidR="00B2487A" w:rsidRPr="006535DB" w:rsidTr="006535DB">
        <w:trPr>
          <w:trHeight w:val="253"/>
        </w:trPr>
        <w:tc>
          <w:tcPr>
            <w:tcW w:w="940" w:type="dxa"/>
            <w:vMerge/>
            <w:hideMark/>
          </w:tcPr>
          <w:p w:rsidR="00B2487A" w:rsidRPr="006535DB" w:rsidRDefault="00B248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:rsidR="00B2487A" w:rsidRPr="006535DB" w:rsidRDefault="00B248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0" w:type="dxa"/>
            <w:vMerge/>
            <w:hideMark/>
          </w:tcPr>
          <w:p w:rsidR="00B2487A" w:rsidRPr="006535DB" w:rsidRDefault="00B248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487A" w:rsidRPr="006535DB" w:rsidTr="006535DB">
        <w:trPr>
          <w:trHeight w:val="286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1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 xml:space="preserve">Набор реагентов для определения активированного парциального тромбопластинового времени (АПТВ или АЧТВ). 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Принцип метода</w:t>
            </w:r>
            <w:r w:rsidRPr="006535DB">
              <w:rPr>
                <w:sz w:val="20"/>
                <w:szCs w:val="20"/>
              </w:rPr>
              <w:br/>
              <w:t>Определяется время свертывания плазмы крови в условиях стандартизированной контактной (эллаговой кислотой) и фосфолипидами (кефалином) активации процесса коагуляции в присутствии ионов кальция.</w:t>
            </w:r>
            <w:r w:rsidRPr="006535DB">
              <w:rPr>
                <w:sz w:val="20"/>
                <w:szCs w:val="20"/>
              </w:rPr>
              <w:br/>
              <w:t>Форма выпуска</w:t>
            </w:r>
            <w:r w:rsidRPr="006535DB">
              <w:rPr>
                <w:sz w:val="20"/>
                <w:szCs w:val="20"/>
              </w:rPr>
              <w:br/>
              <w:t>Набор поставляется в комплектации с жидким АПТВ-Эл-реагентом, рассчитанной на проведение 100 определений.</w:t>
            </w:r>
            <w:r w:rsidRPr="006535DB">
              <w:rPr>
                <w:sz w:val="20"/>
                <w:szCs w:val="20"/>
              </w:rPr>
              <w:br/>
              <w:t>Состав набора</w:t>
            </w:r>
            <w:r w:rsidRPr="006535DB">
              <w:rPr>
                <w:sz w:val="20"/>
                <w:szCs w:val="20"/>
              </w:rPr>
              <w:br/>
              <w:t>- АПТВ-Эл-реагент (раствор, содержащий фосфолипиды мозга кролика, эллаговую кислоту, буфер и стабилизаторы),  5 мл - 2 фл.</w:t>
            </w:r>
            <w:r w:rsidRPr="006535DB">
              <w:rPr>
                <w:sz w:val="20"/>
                <w:szCs w:val="20"/>
              </w:rPr>
              <w:br/>
              <w:t>- Кальция хлорид (0</w:t>
            </w:r>
            <w:r w:rsidRPr="006535DB">
              <w:rPr>
                <w:sz w:val="20"/>
                <w:szCs w:val="20"/>
              </w:rPr>
              <w:t xml:space="preserve">,277 % раствор), 10 мл - 1 фл. </w:t>
            </w:r>
          </w:p>
        </w:tc>
      </w:tr>
      <w:tr w:rsidR="00B2487A" w:rsidRPr="006535DB" w:rsidTr="006535DB">
        <w:trPr>
          <w:trHeight w:val="3390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2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регантов для количественного определения фибриногена в плазме крови.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Предназначен для быстрого количественного определения содержания фибриногена в плазме крови (хронометрический метод по Clauss) на коагулометрах всех имеющихся конструкций (как с оптическим, так и механическим принципом регистрации результатов) за исключением автоматов, которые требуют дополнительной настройки.</w:t>
            </w:r>
            <w:r w:rsidRPr="006535DB">
              <w:rPr>
                <w:sz w:val="20"/>
                <w:szCs w:val="20"/>
              </w:rPr>
              <w:br/>
              <w:t xml:space="preserve">Форма выпуска:   </w:t>
            </w:r>
            <w:r w:rsidRPr="006535DB">
              <w:rPr>
                <w:sz w:val="20"/>
                <w:szCs w:val="20"/>
              </w:rPr>
              <w:br/>
              <w:t>- на 100 тестов.</w:t>
            </w:r>
            <w:r w:rsidRPr="006535DB">
              <w:rPr>
                <w:sz w:val="20"/>
                <w:szCs w:val="20"/>
              </w:rPr>
              <w:br/>
              <w:t>Состав набора:</w:t>
            </w:r>
            <w:r w:rsidRPr="006535DB">
              <w:rPr>
                <w:sz w:val="20"/>
                <w:szCs w:val="20"/>
              </w:rPr>
              <w:br/>
              <w:t>Комплектация № 2 (кат. № 094):</w:t>
            </w:r>
            <w:r w:rsidRPr="006535DB">
              <w:rPr>
                <w:sz w:val="20"/>
                <w:szCs w:val="20"/>
              </w:rPr>
              <w:br/>
              <w:t>1. Тромбин (лиофильно высушенный, 500 ед. NIH) на 5 мл - 2 фл.</w:t>
            </w:r>
            <w:r w:rsidRPr="006535DB">
              <w:rPr>
                <w:sz w:val="20"/>
                <w:szCs w:val="20"/>
              </w:rPr>
              <w:br/>
              <w:t>2. Растворитель для тромбина, 10,5 мл - 1 фл.</w:t>
            </w:r>
            <w:r w:rsidRPr="006535DB">
              <w:rPr>
                <w:sz w:val="20"/>
                <w:szCs w:val="20"/>
              </w:rPr>
              <w:br/>
              <w:t>3. Плазма-калибратор (лиофильно высушенная), на 1 мл -1 фл.</w:t>
            </w:r>
            <w:r w:rsidRPr="006535DB">
              <w:rPr>
                <w:sz w:val="20"/>
                <w:szCs w:val="20"/>
              </w:rPr>
              <w:br/>
              <w:t>4. Буфер трис-НСI (концентрированный 20</w:t>
            </w:r>
            <w:r w:rsidRPr="006535DB">
              <w:rPr>
                <w:sz w:val="20"/>
                <w:szCs w:val="20"/>
              </w:rPr>
              <w:t>:1 раствор,</w:t>
            </w:r>
            <w:r w:rsidRPr="006535DB">
              <w:rPr>
                <w:sz w:val="20"/>
                <w:szCs w:val="20"/>
              </w:rPr>
              <w:br/>
              <w:t>1 М), 10 мл - 1 фл.</w:t>
            </w:r>
          </w:p>
        </w:tc>
      </w:tr>
      <w:tr w:rsidR="00B2487A" w:rsidRPr="006535DB" w:rsidTr="006535DB">
        <w:trPr>
          <w:trHeight w:val="1080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3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 xml:space="preserve">Тромбин 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Реагент «Тромбин» предназначен для определения тромбинового времени, которое используется для оценки конечного этапа свертывания плазмы крови. Состав: 1. Тромбин (жидкий реагент, 3-4 е</w:t>
            </w:r>
            <w:r w:rsidRPr="006535DB">
              <w:rPr>
                <w:sz w:val="20"/>
                <w:szCs w:val="20"/>
              </w:rPr>
              <w:t>д. NIH/мл), 10 мл - во флаконе.</w:t>
            </w:r>
          </w:p>
        </w:tc>
      </w:tr>
      <w:tr w:rsidR="00B2487A" w:rsidRPr="006535DB" w:rsidTr="006535DB">
        <w:trPr>
          <w:trHeight w:val="442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4</w:t>
            </w:r>
          </w:p>
        </w:tc>
        <w:tc>
          <w:tcPr>
            <w:tcW w:w="2620" w:type="dxa"/>
            <w:hideMark/>
          </w:tcPr>
          <w:p w:rsidR="00803E61" w:rsidRDefault="00B2487A">
            <w:pPr>
              <w:ind w:firstLineChars="100" w:firstLine="200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 xml:space="preserve">МультиТех-Фибриноген </w:t>
            </w:r>
          </w:p>
          <w:p w:rsidR="00803E61" w:rsidRPr="00803E61" w:rsidRDefault="00803E61" w:rsidP="00803E61">
            <w:pPr>
              <w:rPr>
                <w:sz w:val="20"/>
                <w:szCs w:val="20"/>
              </w:rPr>
            </w:pPr>
          </w:p>
          <w:p w:rsidR="00803E61" w:rsidRPr="00803E61" w:rsidRDefault="00803E61" w:rsidP="00803E61">
            <w:pPr>
              <w:rPr>
                <w:sz w:val="20"/>
                <w:szCs w:val="20"/>
              </w:rPr>
            </w:pPr>
          </w:p>
          <w:p w:rsidR="00803E61" w:rsidRPr="00803E61" w:rsidRDefault="00803E61" w:rsidP="00803E61">
            <w:pPr>
              <w:rPr>
                <w:sz w:val="20"/>
                <w:szCs w:val="20"/>
              </w:rPr>
            </w:pPr>
          </w:p>
          <w:p w:rsidR="00803E61" w:rsidRPr="00803E61" w:rsidRDefault="00803E61" w:rsidP="00803E61">
            <w:pPr>
              <w:rPr>
                <w:sz w:val="20"/>
                <w:szCs w:val="20"/>
              </w:rPr>
            </w:pPr>
          </w:p>
          <w:p w:rsidR="00803E61" w:rsidRPr="00803E61" w:rsidRDefault="00803E61" w:rsidP="00803E61">
            <w:pPr>
              <w:rPr>
                <w:sz w:val="20"/>
                <w:szCs w:val="20"/>
              </w:rPr>
            </w:pPr>
          </w:p>
          <w:p w:rsidR="00803E61" w:rsidRPr="00803E61" w:rsidRDefault="00803E61" w:rsidP="00803E61">
            <w:pPr>
              <w:rPr>
                <w:sz w:val="20"/>
                <w:szCs w:val="20"/>
              </w:rPr>
            </w:pPr>
          </w:p>
          <w:p w:rsidR="00803E61" w:rsidRPr="00803E61" w:rsidRDefault="00803E61" w:rsidP="00803E61">
            <w:pPr>
              <w:rPr>
                <w:sz w:val="20"/>
                <w:szCs w:val="20"/>
              </w:rPr>
            </w:pPr>
          </w:p>
          <w:p w:rsidR="00803E61" w:rsidRPr="00803E61" w:rsidRDefault="00803E61" w:rsidP="00803E61">
            <w:pPr>
              <w:rPr>
                <w:sz w:val="20"/>
                <w:szCs w:val="20"/>
              </w:rPr>
            </w:pPr>
          </w:p>
          <w:p w:rsidR="00803E61" w:rsidRPr="00803E61" w:rsidRDefault="00803E61" w:rsidP="00803E61">
            <w:pPr>
              <w:rPr>
                <w:sz w:val="20"/>
                <w:szCs w:val="20"/>
              </w:rPr>
            </w:pPr>
          </w:p>
          <w:p w:rsidR="00B2487A" w:rsidRPr="00803E61" w:rsidRDefault="00B2487A" w:rsidP="00803E61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hideMark/>
          </w:tcPr>
          <w:p w:rsidR="00B2487A" w:rsidRPr="00803E61" w:rsidRDefault="00B2487A" w:rsidP="00803E61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МультиТех-Фибриноген предназначен для количественного определения содержания фибриногена в плазме крови на автоматических коагулометрах с открытой системой без предварительного</w:t>
            </w:r>
            <w:r w:rsidRPr="006535DB">
              <w:rPr>
                <w:sz w:val="20"/>
                <w:szCs w:val="20"/>
              </w:rPr>
              <w:t xml:space="preserve"> разведения исследуемой плазмы.</w:t>
            </w:r>
            <w:r w:rsidRPr="006535DB">
              <w:rPr>
                <w:sz w:val="20"/>
                <w:szCs w:val="20"/>
              </w:rPr>
              <w:br/>
              <w:t>Принцип метода</w:t>
            </w:r>
            <w:r w:rsidRPr="006535DB">
              <w:rPr>
                <w:sz w:val="20"/>
                <w:szCs w:val="20"/>
              </w:rPr>
              <w:br/>
              <w:t>Заключается в определении времени свертывания цитратной плазмы избытком тромбина (модифицированный метод Clauss). Время свертывания при этом пропорционально концентрации фибриногена, которую опреде</w:t>
            </w:r>
            <w:r w:rsidRPr="006535DB">
              <w:rPr>
                <w:sz w:val="20"/>
                <w:szCs w:val="20"/>
              </w:rPr>
              <w:t>ляют по калибровочному графику.</w:t>
            </w:r>
            <w:r w:rsidRPr="006535DB">
              <w:rPr>
                <w:sz w:val="20"/>
                <w:szCs w:val="20"/>
              </w:rPr>
              <w:br/>
              <w:t>Форма выпуска</w:t>
            </w:r>
            <w:r w:rsidRPr="006535DB">
              <w:rPr>
                <w:sz w:val="20"/>
                <w:szCs w:val="20"/>
              </w:rPr>
              <w:br/>
              <w:t xml:space="preserve">Набор поставляется в комплектации, рассчитанной на </w:t>
            </w:r>
            <w:r w:rsidRPr="006535DB">
              <w:rPr>
                <w:sz w:val="20"/>
                <w:szCs w:val="20"/>
              </w:rPr>
              <w:t>проведение 100-200 определений.</w:t>
            </w:r>
            <w:r w:rsidRPr="006535DB">
              <w:rPr>
                <w:sz w:val="20"/>
                <w:szCs w:val="20"/>
              </w:rPr>
              <w:br/>
              <w:t>Состав набора</w:t>
            </w:r>
            <w:r w:rsidRPr="006535DB">
              <w:rPr>
                <w:sz w:val="20"/>
                <w:szCs w:val="20"/>
              </w:rPr>
              <w:br/>
              <w:t>- Тромбин  (лиофильно высушенный реагент, бычий), 500 ед. NIH  -  2 фл.</w:t>
            </w:r>
            <w:bookmarkStart w:id="0" w:name="_GoBack"/>
            <w:bookmarkEnd w:id="0"/>
            <w:r w:rsidRPr="006535DB">
              <w:rPr>
                <w:sz w:val="20"/>
                <w:szCs w:val="20"/>
              </w:rPr>
              <w:br/>
              <w:t>- Растворитель</w:t>
            </w:r>
            <w:r w:rsidRPr="006535DB">
              <w:rPr>
                <w:sz w:val="20"/>
                <w:szCs w:val="20"/>
              </w:rPr>
              <w:t xml:space="preserve"> для тромбина, 10,5 мл  - 2 фл.</w:t>
            </w:r>
          </w:p>
        </w:tc>
      </w:tr>
      <w:tr w:rsidR="00B2487A" w:rsidRPr="006535DB" w:rsidTr="006535DB">
        <w:trPr>
          <w:trHeight w:val="442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Тест-система для определения д-димера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Метод: турбидиметрический для количественного определения Д-димера на приборах с оптическими каналами диапазона 350 — 450 нм.  Анализ проводится в цитратной плазме на автоматическом анализаторе.</w:t>
            </w:r>
            <w:r w:rsidRPr="006535DB">
              <w:rPr>
                <w:sz w:val="20"/>
                <w:szCs w:val="20"/>
              </w:rPr>
              <w:br/>
              <w:t>Состав:</w:t>
            </w:r>
            <w:r w:rsidRPr="006535DB">
              <w:rPr>
                <w:sz w:val="20"/>
                <w:szCs w:val="20"/>
              </w:rPr>
              <w:br/>
              <w:t>1. D-Димер латексный реагент (ж) (буферный р-р: частицы, покрытые мышиными моноклональными антителами (МА-8D3), специфичными к Д-димеру, стабилизаторы, натрия азид 95мкг/мл)</w:t>
            </w:r>
            <w:r w:rsidRPr="006535DB">
              <w:rPr>
                <w:sz w:val="20"/>
                <w:szCs w:val="20"/>
              </w:rPr>
              <w:br/>
              <w:t>2. D-Димер реакционный буфер (ж) (рН 7.0, натрия азид 95мкг/мл).</w:t>
            </w:r>
            <w:r w:rsidRPr="006535DB">
              <w:rPr>
                <w:sz w:val="20"/>
                <w:szCs w:val="20"/>
              </w:rPr>
              <w:br/>
              <w:t>3. D-Димер дилюент (ж).</w:t>
            </w:r>
            <w:r w:rsidRPr="006535DB">
              <w:rPr>
                <w:sz w:val="20"/>
                <w:szCs w:val="20"/>
              </w:rPr>
              <w:br/>
              <w:t>4. D-Димер калибратор (ж).</w:t>
            </w:r>
            <w:r w:rsidRPr="006535DB">
              <w:rPr>
                <w:sz w:val="20"/>
                <w:szCs w:val="20"/>
              </w:rPr>
              <w:br/>
              <w:t>Стабильность: Запечатанные реактивы стабильны до окончания срока годности, указанного на упаковке при  2-80С. Вскрытые реагенты 1, 2 и 3 стабильны  14 дней при 2-80С, с плотно закрытой крышкой и в оригинальном флаконе. Не замораживать. Разведенный реагент 4 стабилен 10 часов при 20-250С или 3 дня при 2-60С</w:t>
            </w:r>
            <w:r w:rsidRPr="006535DB">
              <w:rPr>
                <w:sz w:val="20"/>
                <w:szCs w:val="20"/>
              </w:rPr>
              <w:br/>
              <w:t xml:space="preserve">Фасовка : </w:t>
            </w:r>
            <w:r w:rsidRPr="006535DB">
              <w:rPr>
                <w:sz w:val="20"/>
                <w:szCs w:val="20"/>
              </w:rPr>
              <w:br/>
              <w:t>1-(2х3мл), 2-</w:t>
            </w:r>
            <w:r w:rsidRPr="006535DB">
              <w:rPr>
                <w:sz w:val="20"/>
                <w:szCs w:val="20"/>
              </w:rPr>
              <w:t>(2х7мл), 3-(1x7мл), 4-(1х1мл).</w:t>
            </w:r>
          </w:p>
        </w:tc>
      </w:tr>
      <w:tr w:rsidR="00B2487A" w:rsidRPr="006535DB" w:rsidTr="006535DB">
        <w:trPr>
          <w:trHeight w:val="127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6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Упаковка металлических шариков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Упаковка металлических шариков</w:t>
            </w:r>
            <w:r w:rsidRPr="006535DB">
              <w:rPr>
                <w:sz w:val="20"/>
                <w:szCs w:val="20"/>
              </w:rPr>
              <w:br/>
              <w:t>Пластиковый флакон цилиндрической формы, содержащий 1850 металлических шариков, для вставки в устройство для дозирования шарик</w:t>
            </w:r>
            <w:r w:rsidRPr="006535DB">
              <w:rPr>
                <w:sz w:val="20"/>
                <w:szCs w:val="20"/>
              </w:rPr>
              <w:t>ов</w:t>
            </w:r>
            <w:r w:rsidRPr="006535DB">
              <w:rPr>
                <w:sz w:val="20"/>
                <w:szCs w:val="20"/>
              </w:rPr>
              <w:br/>
              <w:t>Не менее 1850 шт. в упаковке</w:t>
            </w:r>
          </w:p>
        </w:tc>
      </w:tr>
      <w:tr w:rsidR="00B2487A" w:rsidRPr="006535DB" w:rsidTr="006535DB">
        <w:trPr>
          <w:trHeight w:val="232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Тест-набор иммунохроматографического одноэтапного качественного определения скрытой крови в кале</w:t>
            </w:r>
          </w:p>
        </w:tc>
        <w:tc>
          <w:tcPr>
            <w:tcW w:w="5820" w:type="dxa"/>
            <w:hideMark/>
          </w:tcPr>
          <w:p w:rsidR="00803E61" w:rsidRDefault="00B2487A" w:rsidP="00803E61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Тест-набор иммунохроматографического одноэтапного качественного определения скрытой крови в кале.   Состав набора: планшет индивидуальный, упакованный в индивидуальную вакуумную упаковку из алюминиевой фольги с осушителем, пипетка с контейнером для внесения образца, реагент для разведения образца ф</w:t>
            </w:r>
            <w:r w:rsidR="00803E61">
              <w:rPr>
                <w:sz w:val="20"/>
                <w:szCs w:val="20"/>
              </w:rPr>
              <w:t>екалий. Характеристики набора: ч</w:t>
            </w:r>
            <w:r w:rsidRPr="006535DB">
              <w:rPr>
                <w:sz w:val="20"/>
                <w:szCs w:val="20"/>
              </w:rPr>
              <w:t>увствительность    - 50 нг/мл или 6 мкг в 1 грамме фекалий; Время п</w:t>
            </w:r>
            <w:r w:rsidR="00803E61">
              <w:rPr>
                <w:sz w:val="20"/>
                <w:szCs w:val="20"/>
              </w:rPr>
              <w:t>роведения анализа    - 5 минут;</w:t>
            </w:r>
            <w:r w:rsidRPr="006535DB">
              <w:rPr>
                <w:sz w:val="20"/>
                <w:szCs w:val="20"/>
              </w:rPr>
              <w:t xml:space="preserve">    </w:t>
            </w:r>
          </w:p>
          <w:p w:rsidR="00B2487A" w:rsidRPr="006535DB" w:rsidRDefault="00B2487A" w:rsidP="00803E61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Один планшет предназначен для одного определения. Количество тестов в наборе – 25 шт.</w:t>
            </w:r>
          </w:p>
        </w:tc>
      </w:tr>
      <w:tr w:rsidR="00B2487A" w:rsidRPr="006535DB" w:rsidTr="006535DB">
        <w:trPr>
          <w:trHeight w:val="421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8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общего анализа спинно-мозговой жидкости</w:t>
            </w:r>
          </w:p>
        </w:tc>
        <w:tc>
          <w:tcPr>
            <w:tcW w:w="5820" w:type="dxa"/>
            <w:hideMark/>
          </w:tcPr>
          <w:p w:rsidR="00B2487A" w:rsidRPr="006535DB" w:rsidRDefault="00B2487A" w:rsidP="00803E61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анализа спинномозговой жидкости: Цитоз (Реактив Самосона) (200 опр.), Белок общий: качественная реакция Панди (200 опр.), количественное опр. (сульфосалицил. к-та и сульфат натрия) (200 опр.), глобулины (200 опр.) Содержание общего белка определяется в диапазоне от 0,2 г/л до 1,5 г/л, отклонение не более 10%;</w:t>
            </w:r>
            <w:r w:rsidRPr="006535DB">
              <w:rPr>
                <w:sz w:val="20"/>
                <w:szCs w:val="20"/>
              </w:rPr>
              <w:br/>
              <w:t>Чувствительность – не более 0,05 г/л;</w:t>
            </w:r>
            <w:r w:rsidRPr="006535DB">
              <w:rPr>
                <w:sz w:val="20"/>
                <w:szCs w:val="20"/>
              </w:rPr>
              <w:br/>
              <w:t>Коэффициент вариации – не более 10%;</w:t>
            </w:r>
            <w:r w:rsidRPr="006535DB">
              <w:rPr>
                <w:sz w:val="20"/>
                <w:szCs w:val="20"/>
              </w:rPr>
              <w:br/>
              <w:t>Минимальная определяемая концентрация глобулинов – 0,05 г/л (0,3 г/л общего белка).  Состав набора</w:t>
            </w:r>
            <w:r w:rsidRPr="006535DB">
              <w:rPr>
                <w:sz w:val="20"/>
                <w:szCs w:val="20"/>
              </w:rPr>
              <w:br/>
              <w:t>Реагент 1. Кислота сульфосалициловая – не менее 30 г</w:t>
            </w:r>
            <w:r w:rsidRPr="006535DB">
              <w:rPr>
                <w:sz w:val="20"/>
                <w:szCs w:val="20"/>
              </w:rPr>
              <w:br/>
              <w:t>Реагент 2  Натрий  сернокислый – не менее 70 г</w:t>
            </w:r>
            <w:r w:rsidRPr="006535DB">
              <w:rPr>
                <w:sz w:val="20"/>
                <w:szCs w:val="20"/>
              </w:rPr>
              <w:br/>
              <w:t>Реагент 3. Калибровочный  раствор альбумина, 10 г/л – 1 флакон не менее 5,0 мл</w:t>
            </w:r>
            <w:r w:rsidRPr="006535DB">
              <w:rPr>
                <w:sz w:val="20"/>
                <w:szCs w:val="20"/>
              </w:rPr>
              <w:br/>
              <w:t>Реагент 4. Фенол – не менее 2,5 г</w:t>
            </w:r>
            <w:r w:rsidRPr="006535DB">
              <w:rPr>
                <w:sz w:val="20"/>
                <w:szCs w:val="20"/>
              </w:rPr>
              <w:br/>
              <w:t>Реагент 5  Аммоний сернокислый – не менее 85 г</w:t>
            </w:r>
            <w:r w:rsidRPr="006535DB">
              <w:rPr>
                <w:sz w:val="20"/>
                <w:szCs w:val="20"/>
              </w:rPr>
              <w:br/>
              <w:t>Реагент 6  Реактив Самсона – не менее 10 мл</w:t>
            </w:r>
            <w:r w:rsidRPr="006535DB">
              <w:rPr>
                <w:sz w:val="20"/>
                <w:szCs w:val="20"/>
              </w:rPr>
              <w:br/>
              <w:t>Срок годности 1 год.</w:t>
            </w:r>
            <w:r w:rsidRPr="006535DB">
              <w:rPr>
                <w:sz w:val="20"/>
                <w:szCs w:val="20"/>
              </w:rPr>
              <w:t xml:space="preserve"> Хранить при температуре 2-8°С.</w:t>
            </w:r>
          </w:p>
        </w:tc>
      </w:tr>
      <w:tr w:rsidR="00B2487A" w:rsidRPr="006535DB" w:rsidTr="006535DB">
        <w:trPr>
          <w:trHeight w:val="421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 xml:space="preserve">Набор реагентов для определения глюкозы 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Глюкозооксидазный метод. Ферментативный колориметрический тест.</w:t>
            </w:r>
            <w:r w:rsidRPr="006535DB">
              <w:rPr>
                <w:sz w:val="20"/>
                <w:szCs w:val="20"/>
              </w:rPr>
              <w:br/>
              <w:t>Состав набора:</w:t>
            </w:r>
            <w:r w:rsidRPr="006535DB">
              <w:rPr>
                <w:sz w:val="20"/>
                <w:szCs w:val="20"/>
              </w:rPr>
              <w:br/>
              <w:t xml:space="preserve">1.Ферментативный реагент 1х1000 мл </w:t>
            </w:r>
            <w:r w:rsidRPr="006535DB">
              <w:rPr>
                <w:sz w:val="20"/>
                <w:szCs w:val="20"/>
              </w:rPr>
              <w:br/>
              <w:t>Фосфатный буфер (рН 7,5) 100 ммоль/л</w:t>
            </w:r>
            <w:r w:rsidRPr="006535DB">
              <w:rPr>
                <w:sz w:val="20"/>
                <w:szCs w:val="20"/>
              </w:rPr>
              <w:br/>
              <w:t>4-аминофеназон 0,25 ммоль/л</w:t>
            </w:r>
            <w:r w:rsidRPr="006535DB">
              <w:rPr>
                <w:sz w:val="20"/>
                <w:szCs w:val="20"/>
              </w:rPr>
              <w:br/>
              <w:t>Фенол 0,75 ммоль/л</w:t>
            </w:r>
            <w:r w:rsidRPr="006535DB">
              <w:rPr>
                <w:sz w:val="20"/>
                <w:szCs w:val="20"/>
              </w:rPr>
              <w:br/>
              <w:t>Глюкозооксидаза (ГОД) ≥ 15 кЕ/л</w:t>
            </w:r>
            <w:r w:rsidRPr="006535DB">
              <w:rPr>
                <w:sz w:val="20"/>
                <w:szCs w:val="20"/>
              </w:rPr>
              <w:br/>
              <w:t>Пероксидаза (ПОД) ≥1,5 кЕ/л</w:t>
            </w:r>
            <w:r w:rsidRPr="006535DB">
              <w:rPr>
                <w:sz w:val="20"/>
                <w:szCs w:val="20"/>
              </w:rPr>
              <w:br/>
              <w:t>Мутаротаза ≥ 2,0 кЕ/л</w:t>
            </w:r>
            <w:r w:rsidRPr="006535DB">
              <w:rPr>
                <w:sz w:val="20"/>
                <w:szCs w:val="20"/>
              </w:rPr>
              <w:br/>
              <w:t>Азид натрия 0,095 %</w:t>
            </w:r>
            <w:r w:rsidRPr="006535DB">
              <w:rPr>
                <w:sz w:val="20"/>
                <w:szCs w:val="20"/>
              </w:rPr>
              <w:br/>
              <w:t>Стабилизаторы</w:t>
            </w:r>
            <w:r w:rsidRPr="006535DB">
              <w:rPr>
                <w:sz w:val="20"/>
                <w:szCs w:val="20"/>
              </w:rPr>
              <w:br/>
              <w:t xml:space="preserve">2. Стандарт глюкозы 1 х 3 мл </w:t>
            </w:r>
            <w:r w:rsidRPr="006535DB">
              <w:rPr>
                <w:sz w:val="20"/>
                <w:szCs w:val="20"/>
              </w:rPr>
              <w:br/>
              <w:t>Глюкоза 5,55 ммоль/л (100 мг/дл)</w:t>
            </w:r>
            <w:r w:rsidRPr="006535DB">
              <w:rPr>
                <w:sz w:val="20"/>
                <w:szCs w:val="20"/>
              </w:rPr>
              <w:br/>
              <w:t>Реагент и стандарт готовы к применению.</w:t>
            </w:r>
            <w:r w:rsidRPr="006535DB">
              <w:rPr>
                <w:sz w:val="20"/>
                <w:szCs w:val="20"/>
              </w:rPr>
              <w:br/>
              <w:t>Реагенты стабильны вплоть до указанной даты при температуре хранения 2...8°С</w:t>
            </w:r>
            <w:r w:rsidRPr="006535DB">
              <w:rPr>
                <w:sz w:val="20"/>
                <w:szCs w:val="20"/>
              </w:rPr>
              <w:br/>
              <w:t>Проба: сыворотка или плазма крови</w:t>
            </w:r>
            <w:r w:rsidRPr="006535DB">
              <w:rPr>
                <w:sz w:val="20"/>
                <w:szCs w:val="20"/>
              </w:rPr>
              <w:t>.</w:t>
            </w:r>
            <w:r w:rsidRPr="006535DB">
              <w:rPr>
                <w:sz w:val="20"/>
                <w:szCs w:val="20"/>
              </w:rPr>
              <w:br/>
              <w:t>Линейность до 22,2 ммоль/л.</w:t>
            </w:r>
          </w:p>
        </w:tc>
      </w:tr>
      <w:tr w:rsidR="00B2487A" w:rsidRPr="006535DB" w:rsidTr="006535DB">
        <w:trPr>
          <w:trHeight w:val="295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10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реагентов для определения АЛТ</w:t>
            </w:r>
          </w:p>
        </w:tc>
        <w:tc>
          <w:tcPr>
            <w:tcW w:w="5820" w:type="dxa"/>
            <w:hideMark/>
          </w:tcPr>
          <w:p w:rsidR="00B2487A" w:rsidRPr="006535DB" w:rsidRDefault="00B2487A" w:rsidP="00803E61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Кинетический метод определения активности АЛТ согласно рекомендациям IFCC (Международная Феде-</w:t>
            </w:r>
            <w:r w:rsidRPr="006535DB">
              <w:rPr>
                <w:sz w:val="20"/>
                <w:szCs w:val="20"/>
              </w:rPr>
              <w:br/>
              <w:t>рация по Клинической Химии). Без активации пиридоксальфосфатом.</w:t>
            </w:r>
            <w:r w:rsidRPr="006535DB">
              <w:rPr>
                <w:sz w:val="20"/>
                <w:szCs w:val="20"/>
              </w:rPr>
              <w:br/>
              <w:t>Состав набора (4х250 мл): 1.Буфер</w:t>
            </w:r>
            <w:r w:rsidRPr="006535DB">
              <w:rPr>
                <w:sz w:val="20"/>
                <w:szCs w:val="20"/>
              </w:rPr>
              <w:br/>
              <w:t>ТРИС буфер (рН 7,4) 125 ммоль/л; L-аланин 625 ммоль/л%;Лактатдегидрогеназа (ЛДГ) ≤ 1,5 кE/л;</w:t>
            </w:r>
            <w:r w:rsidRPr="006535DB">
              <w:rPr>
                <w:sz w:val="20"/>
                <w:szCs w:val="20"/>
              </w:rPr>
              <w:br/>
              <w:t>Азид натрия 0,095 %</w:t>
            </w:r>
            <w:r w:rsidRPr="006535DB">
              <w:rPr>
                <w:sz w:val="20"/>
                <w:szCs w:val="20"/>
              </w:rPr>
              <w:br/>
              <w:t>2. Субстрат 2-оксоглутарат 90 ммоль/л;  NADH 0,9 ммоль/л; Азид натрия 0,095 %.</w:t>
            </w:r>
            <w:r w:rsidRPr="006535DB">
              <w:rPr>
                <w:sz w:val="20"/>
                <w:szCs w:val="20"/>
              </w:rPr>
              <w:br/>
              <w:t>Линейность: 350 Е/л</w:t>
            </w:r>
            <w:r w:rsidRPr="006535DB">
              <w:rPr>
                <w:sz w:val="20"/>
                <w:szCs w:val="20"/>
              </w:rPr>
              <w:br/>
              <w:t>Рабочий реагент стабилен в течение 4 недель пр</w:t>
            </w:r>
            <w:r w:rsidRPr="006535DB">
              <w:rPr>
                <w:sz w:val="20"/>
                <w:szCs w:val="20"/>
              </w:rPr>
              <w:t>и температуре хранения 2...8°С.</w:t>
            </w:r>
          </w:p>
        </w:tc>
      </w:tr>
      <w:tr w:rsidR="00B2487A" w:rsidRPr="006535DB" w:rsidTr="00803E61">
        <w:trPr>
          <w:trHeight w:val="2107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11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калия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концентрации калия в сыворотке и плазме крови турбидиметрич. методом без депротеин., 2х50 мл. Состав набора: 1. Реагент 1 - монореагент. 2. Калибратор: калий 5,0 ммоль/л.  Чувствительность 1,0 ммоль/л, линейность до 10 ммоль/л, коэффициент вариации не менее 7%, время реакции - 5 мин., длина волны 578 нм (505 - 590 нм), температура инкубации 18-25 или 37 С, фотометрирование против контрольной пробы. Универсальный набор, пригоден для любого типа лабораторного оборудования. Срок годно</w:t>
            </w:r>
            <w:r w:rsidRPr="006535DB">
              <w:rPr>
                <w:sz w:val="20"/>
                <w:szCs w:val="20"/>
              </w:rPr>
              <w:t>сти вскрытых реагентов - 1 мес.</w:t>
            </w:r>
          </w:p>
        </w:tc>
      </w:tr>
      <w:tr w:rsidR="00B2487A" w:rsidRPr="006535DB" w:rsidTr="006535DB">
        <w:trPr>
          <w:trHeight w:val="2220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12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хлоридов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концентрации хлоридов в сыворотке (плазме) крови и моче колориметрическим методом без депротеин., 2х100 мл. Состав набора: 1. Реагент 1 - монореагент. 2. Калибратор: хлорид-ионы 100 ммоль/л (354,6 мг/100 мл). Чувствительность не более 5 ммоль/л, линейность 75-120 ммоль/л (до 425,5 мг/100мл), коэффициент вариации не более 5%, время реакции - 5 мин., длина волны 490 нм (460 нм), температура инкубации 18-25 С, фотометрирование против холостой пробы. Универсальный набор, пригоден для любого типа лабораторного оборудования. Срок годности вск</w:t>
            </w:r>
            <w:r w:rsidRPr="006535DB">
              <w:rPr>
                <w:sz w:val="20"/>
                <w:szCs w:val="20"/>
              </w:rPr>
              <w:t>рытого калибратора - 24 месяца.</w:t>
            </w:r>
          </w:p>
        </w:tc>
      </w:tr>
      <w:tr w:rsidR="00B2487A" w:rsidRPr="006535DB" w:rsidTr="006535DB">
        <w:trPr>
          <w:trHeight w:val="2700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натрия</w:t>
            </w:r>
          </w:p>
        </w:tc>
        <w:tc>
          <w:tcPr>
            <w:tcW w:w="5820" w:type="dxa"/>
            <w:hideMark/>
          </w:tcPr>
          <w:p w:rsidR="00B2487A" w:rsidRPr="006535DB" w:rsidRDefault="00B2487A" w:rsidP="00803E61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концентрации натрия в сыворотке крови энзиматическим кин. методом, Fluid Stable, 50 мл. Состав набора: 1. Реагент 1 - буфер (45 мл). 2. Реагент 2 - стартовый реагент (5 мл): ONPG 1,5 ммоль/л. 3. Реагент 3 (5 мл): b-галактозидаза 800 ед/л. 4. Калибратор: натрий хлористый 150 ммоль/л (1,5 мл). Чувствительность не более 100 ммоль/л, линейность 110-160 ммоль/л, коэффициент вариации менее 5%, длина волны 420 нм (405-436 нм), температура инкубации 37 С. Набор предназначен для полуавтоматических и автоматических анализаторов. Калибратор стабилен в течение 15 месяцев. Стабильность вскрытого калибратора – 1 месяц. Срок годности</w:t>
            </w:r>
            <w:r w:rsidRPr="006535DB">
              <w:rPr>
                <w:sz w:val="20"/>
                <w:szCs w:val="20"/>
              </w:rPr>
              <w:t xml:space="preserve"> рабочего реагента - 10 сут.</w:t>
            </w:r>
          </w:p>
        </w:tc>
      </w:tr>
      <w:tr w:rsidR="00B2487A" w:rsidRPr="006535DB" w:rsidTr="006535DB">
        <w:trPr>
          <w:trHeight w:val="196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14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аланинаминотрансферазы</w:t>
            </w:r>
          </w:p>
        </w:tc>
        <w:tc>
          <w:tcPr>
            <w:tcW w:w="5820" w:type="dxa"/>
            <w:hideMark/>
          </w:tcPr>
          <w:p w:rsidR="00B2487A" w:rsidRPr="006535DB" w:rsidRDefault="00B2487A" w:rsidP="00803E61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активности АЛТ в сыворотке и плазме крови оптимизированным энзиматическим кинетическим методом, 2х50 мл, IFCC. Состав набора: 1. Реагент 1 - буфер (2х50 мл). 2. Реагент 2 - лиофилизат (2 фл.). Чувствительность не более 7 Е/л, линейность не менее 350 Е/л, коэффициент вариации не более 5%, длина волны (334, 340 или 365) нм, температура инкубации 37 С (30 С, 25С), фотометрирование против воздуха. Набор предназначен для полуавтоматических</w:t>
            </w:r>
            <w:r w:rsidRPr="006535DB">
              <w:rPr>
                <w:sz w:val="20"/>
                <w:szCs w:val="20"/>
              </w:rPr>
              <w:t xml:space="preserve"> и автоматических анализаторов.</w:t>
            </w:r>
          </w:p>
        </w:tc>
      </w:tr>
      <w:tr w:rsidR="00B2487A" w:rsidRPr="006535DB" w:rsidTr="006535DB">
        <w:trPr>
          <w:trHeight w:val="2010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15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аспартатаминотрансферазы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 xml:space="preserve">Набор для определения активности АСТ в сыворотке и плазме крови оптимизированным энзиматическим кинетическим методом, 2х50 мл, IFCC. Состав набора: 1. Реагент 1 - буфер (2х50 мл). 2. Реагент 2 - лиофилизат (2 фл.). Чувствительность не более 7 U/l, линейность не менее 400 U/l, коэффициент вариации не более 5%, длина волны (334, 340 или 365) нм, температура инкубации 37 С (30 С, 25С), фотометрирование против воздуха. Набор предназначен для полуавтоматических </w:t>
            </w:r>
            <w:r w:rsidRPr="006535DB">
              <w:rPr>
                <w:sz w:val="20"/>
                <w:szCs w:val="20"/>
              </w:rPr>
              <w:t xml:space="preserve">и автоматических анализаторов. </w:t>
            </w:r>
          </w:p>
        </w:tc>
      </w:tr>
      <w:tr w:rsidR="00B2487A" w:rsidRPr="006535DB" w:rsidTr="006535DB">
        <w:trPr>
          <w:trHeight w:val="202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16</w:t>
            </w:r>
          </w:p>
        </w:tc>
        <w:tc>
          <w:tcPr>
            <w:tcW w:w="2620" w:type="dxa"/>
            <w:hideMark/>
          </w:tcPr>
          <w:p w:rsidR="00B2487A" w:rsidRPr="006535DB" w:rsidRDefault="00B2487A">
            <w:pPr>
              <w:ind w:firstLineChars="100" w:firstLine="200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 xml:space="preserve">Набор для определения лактатдегидрогеназы 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активности лактатдегидроген</w:t>
            </w:r>
            <w:r w:rsidRPr="006535DB">
              <w:rPr>
                <w:sz w:val="20"/>
                <w:szCs w:val="20"/>
              </w:rPr>
              <w:t xml:space="preserve">азы в сыворотке и плазме крови </w:t>
            </w:r>
            <w:r w:rsidRPr="006535DB">
              <w:rPr>
                <w:sz w:val="20"/>
                <w:szCs w:val="20"/>
              </w:rPr>
              <w:t xml:space="preserve">оптимизированным кинетическим UV методом, 5х10 мл. Состав набора: 1. Реагент 1 - буфер (50 мл). 2. Реагент 2 - лиофилизат: NADH 0,18 ммоль/л (5 флаконов). Чувствительность не более 100 Е/л, линейность не менее 1200 Е/л, коэффициент вариации не более 5%, длина волны 334, 340 или 365 нм, температура инкубации 37 С (30 С, 25 С), фотометрирование против воздуха. Набор предназначен для полуавтоматических и автоматических анализаторов. </w:t>
            </w:r>
          </w:p>
        </w:tc>
      </w:tr>
      <w:tr w:rsidR="00B2487A" w:rsidRPr="006535DB" w:rsidTr="006535DB">
        <w:trPr>
          <w:trHeight w:val="2010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17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щелочной фосфотазы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активности щелочной фосфатазы в сыворотке и плазме крови оптимизированным кинетическим методом, 500 мл. Состав набора: 1. Реагент 1 - АМР буфер (2х200 мл). 2. Реагент 2 - п-нитрофенилфосфат 80 ммоль/л (2х50 мл). Чув</w:t>
            </w:r>
            <w:r w:rsidRPr="006535DB">
              <w:rPr>
                <w:sz w:val="20"/>
                <w:szCs w:val="20"/>
              </w:rPr>
              <w:t xml:space="preserve">ствительность не более 25 Е/л, </w:t>
            </w:r>
            <w:r w:rsidRPr="006535DB">
              <w:rPr>
                <w:sz w:val="20"/>
                <w:szCs w:val="20"/>
              </w:rPr>
              <w:t>линейность до 830 Е/л,коэффициент вариации не более 5%, длина волны 405 нм, температура инкубации 37 С (30 С), фотометрирование против рабочего реагента. Набор предназначен для полуавтоматических и ав</w:t>
            </w:r>
            <w:r w:rsidRPr="006535DB">
              <w:rPr>
                <w:sz w:val="20"/>
                <w:szCs w:val="20"/>
              </w:rPr>
              <w:t xml:space="preserve">томатических анализаторов. </w:t>
            </w:r>
          </w:p>
        </w:tc>
      </w:tr>
      <w:tr w:rsidR="00B2487A" w:rsidRPr="006535DB" w:rsidTr="006535DB">
        <w:trPr>
          <w:trHeight w:val="2520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18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глюкозы</w:t>
            </w:r>
          </w:p>
        </w:tc>
        <w:tc>
          <w:tcPr>
            <w:tcW w:w="5820" w:type="dxa"/>
            <w:hideMark/>
          </w:tcPr>
          <w:p w:rsidR="00B2487A" w:rsidRPr="006535DB" w:rsidRDefault="00B2487A">
            <w:pPr>
              <w:ind w:firstLineChars="100" w:firstLine="200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концентрации глюкозы в биологических жидкостях энзиматическим колориметрическим методом без депротеин., 4х250 мл. Монореагент. Состав набора: 1. Реагент 1 - буфер, рН 7,5. 2. Реагент 2 - лиофилизат. 3. Калибратор: глюкоза 10 ммоль/л. Чувствительность не более 0,5 ммоль/л, линейность 30 ммоль/л, коэффициент вариации не более 5%, время реакции - 20 мин., длина волны 505 нм (ФЭК - 490 нм), температура инкубации 18-25 С (37 С), фотометрирование против холостой пробы. Универсальный набор, подходит для любого типа лабораторного оборудования. Срок годности вскрытого калибратора - 6 мес. Срок год</w:t>
            </w:r>
            <w:r w:rsidRPr="006535DB">
              <w:rPr>
                <w:sz w:val="20"/>
                <w:szCs w:val="20"/>
              </w:rPr>
              <w:t>ности рабочего реагента  6 мес.</w:t>
            </w:r>
          </w:p>
        </w:tc>
      </w:tr>
      <w:tr w:rsidR="00B2487A" w:rsidRPr="006535DB" w:rsidTr="006535DB">
        <w:trPr>
          <w:trHeight w:val="193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креатининазы МВ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 xml:space="preserve">Набор для определения активности МВ изозима креатинкиназы в сыворотке и плазме крови оптимизированным кинетическим иммунологическим амплифицированным методом, 10х10 мл. Состав набора: 1. Реагент 1-буфер (2х50 мл). 2.Реагент 2 - лиофилизат (10 фл.). Чувствительность не более 4,5 Е/л, линейность не менее 650 Е/л, коэффициент вариации не более 5%, длина волны 334, 340 или 365 нм, температура инкубации 37 С (30 С, 25 С), фотометрирование против воздуха. </w:t>
            </w:r>
          </w:p>
        </w:tc>
      </w:tr>
      <w:tr w:rsidR="00B2487A" w:rsidRPr="006535DB" w:rsidTr="006535DB">
        <w:trPr>
          <w:trHeight w:val="699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20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молочной кислоты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концентрации молочной кислоты в биологических жидкостях энзиматическим колориметрическим методом, 5х10 мл. Монореагент. Состав набора: 1. Реагент 1 - буфер, рН 7,5. 2. Реагент 2 - лиофилизат. 3. Реагент 3 - кислота перхлорная 3,3%. 4. Калибратор: молочная к-та 3,3 ммоль/л (30 мг/100 мл). Чувствительность не более 0,3 ммоль/л, линнейность 13,3 ммоль/л (120,9 мг/100мл) коэффициент вариации не более 5%, время реакции - 5 мин., длина волны 505 нм (490-520 нм, ФЭК - 490 нм), температура инкубации 18-25 С, фотометрирование против холостой пробы. Универсальный набор, пригоден для любого типа лабораторного оборудования. Срок годности вскрытого калибратора - 3 мес. Срок годност</w:t>
            </w:r>
            <w:r w:rsidRPr="006535DB">
              <w:rPr>
                <w:sz w:val="20"/>
                <w:szCs w:val="20"/>
              </w:rPr>
              <w:t>и рабочего реагента - 14 суток.</w:t>
            </w:r>
          </w:p>
        </w:tc>
      </w:tr>
      <w:tr w:rsidR="00B2487A" w:rsidRPr="006535DB" w:rsidTr="006535DB">
        <w:trPr>
          <w:trHeight w:val="238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21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креатинина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для определения концентрации креатинина в сыворотке (плазме) крови и моче псевдокинетическим методом, основанным на реакции Яффе, 400 мл. Возможна постановка как монореагентным, так и биреагентным способом. Состав набора: 1. Реагент 1 - гидроокись натрия. 2. Реагент 2 - пикриновая кислота 20 ммоль/л. 3. Калибратор: креатинин 177 мкмоль/л. Чувствительность 20 мкмоль/л, линейность 885 мкмоль/л, коэффициент вариации не более 5%, длина волны 505 нм, температура инкубации 37 С. Набор подходит для полуавтоматических и автоматических анализаторов. Срок годности калибратора 2</w:t>
            </w:r>
            <w:r w:rsidRPr="006535DB">
              <w:rPr>
                <w:sz w:val="20"/>
                <w:szCs w:val="20"/>
              </w:rPr>
              <w:t>0 месяцев, вскрытый - 3 месяца.</w:t>
            </w:r>
          </w:p>
        </w:tc>
      </w:tr>
      <w:tr w:rsidR="00B2487A" w:rsidRPr="006535DB" w:rsidTr="006535DB">
        <w:trPr>
          <w:trHeight w:val="1035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22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Мультикалибратор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Мультикалибратор-Витал, 1х3 мл, для калибровки автоматических биохимических анализаторов. Лиофилизированная человеческая сыв-ка, конечный объем 3 мл. После растворения значения стабильны 12 ч. при 25 С, 5 дней в хол-ке (4 С)</w:t>
            </w:r>
            <w:r w:rsidRPr="006535DB">
              <w:rPr>
                <w:sz w:val="20"/>
                <w:szCs w:val="20"/>
              </w:rPr>
              <w:t xml:space="preserve"> и не менее 1 месяца при -20 С.</w:t>
            </w:r>
          </w:p>
        </w:tc>
      </w:tr>
      <w:tr w:rsidR="00B2487A" w:rsidRPr="006535DB" w:rsidTr="00803E61">
        <w:trPr>
          <w:trHeight w:val="5087"/>
        </w:trPr>
        <w:tc>
          <w:tcPr>
            <w:tcW w:w="940" w:type="dxa"/>
            <w:noWrap/>
            <w:hideMark/>
          </w:tcPr>
          <w:p w:rsidR="00B2487A" w:rsidRPr="006535DB" w:rsidRDefault="00B2487A">
            <w:pPr>
              <w:jc w:val="center"/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23</w:t>
            </w:r>
          </w:p>
        </w:tc>
        <w:tc>
          <w:tcPr>
            <w:tcW w:w="26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Набор реагентов для скринингового исследования микрофлоры урогенитального тракта у женщин методом ПЦР (ФЕМОФЛОР-СКРИН) (в режиме реального времени) или эквивалент</w:t>
            </w:r>
          </w:p>
        </w:tc>
        <w:tc>
          <w:tcPr>
            <w:tcW w:w="5820" w:type="dxa"/>
            <w:hideMark/>
          </w:tcPr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>ПЦР-смесь должна быть расфасована по пробиркам в стрипах (не менее 8 пробирок объемом не менее 0,2 мл) с выпуклой оптически прозрачной крышкой</w:t>
            </w:r>
            <w:r w:rsidRPr="006535DB">
              <w:rPr>
                <w:sz w:val="20"/>
                <w:szCs w:val="20"/>
              </w:rPr>
              <w:br/>
              <w:t>В состав реакционной смеси, запечатанной парафином, входят праймеры, флуоресцентные зонды, внутренний контрольный образец</w:t>
            </w:r>
            <w:r w:rsidRPr="006535DB">
              <w:rPr>
                <w:sz w:val="20"/>
                <w:szCs w:val="20"/>
              </w:rPr>
              <w:br/>
              <w:t>Наличие готового раствора Taq-полимеразы (с условиями хранения +(2 – 8 ) ºС).</w:t>
            </w:r>
            <w:r w:rsidRPr="006535DB">
              <w:rPr>
                <w:sz w:val="20"/>
                <w:szCs w:val="20"/>
              </w:rPr>
              <w:br/>
              <w:t>Наличие положительного контрольного образца.</w:t>
            </w:r>
            <w:r w:rsidRPr="006535DB">
              <w:rPr>
                <w:sz w:val="20"/>
                <w:szCs w:val="20"/>
              </w:rPr>
              <w:br/>
              <w:t>Наличие голубого буфера в 1-ой,3-ей,5-ой,7-ой пробирках в каждом стрипе (т.е. в первых пробирках теста).</w:t>
            </w:r>
            <w:r w:rsidRPr="006535DB">
              <w:rPr>
                <w:sz w:val="20"/>
                <w:szCs w:val="20"/>
              </w:rPr>
              <w:br/>
              <w:t xml:space="preserve">Детекция в режиме «реального времени» с использованием детектирующего амплификаторов серии ДТ (производства ООО «НПО ДНК-Технология») или эквивалентных. </w:t>
            </w:r>
            <w:r w:rsidRPr="006535DB">
              <w:rPr>
                <w:sz w:val="20"/>
                <w:szCs w:val="20"/>
              </w:rPr>
              <w:br/>
              <w:t>Наличие в приборе каналов детекции FAM, HEX, Cy5 или эквивалентных).</w:t>
            </w:r>
            <w:r w:rsidRPr="006535DB">
              <w:rPr>
                <w:sz w:val="20"/>
                <w:szCs w:val="20"/>
              </w:rPr>
              <w:br/>
              <w:t xml:space="preserve">Чувствительность комплекта реагентов - 103 копий / мл . </w:t>
            </w:r>
            <w:r w:rsidRPr="006535DB">
              <w:rPr>
                <w:sz w:val="20"/>
                <w:szCs w:val="20"/>
              </w:rPr>
              <w:br/>
              <w:t xml:space="preserve">Один набор рассчитан на не менее 24 тестов (фасовка: не менее 24 стрипа по не менее 8 пробирок)  </w:t>
            </w:r>
          </w:p>
          <w:p w:rsidR="00B2487A" w:rsidRPr="006535DB" w:rsidRDefault="00B2487A" w:rsidP="00B2487A">
            <w:pPr>
              <w:rPr>
                <w:sz w:val="20"/>
                <w:szCs w:val="20"/>
              </w:rPr>
            </w:pPr>
            <w:r w:rsidRPr="006535DB">
              <w:rPr>
                <w:sz w:val="20"/>
                <w:szCs w:val="20"/>
              </w:rPr>
              <w:t xml:space="preserve">Наличие инструкции на русском языке. </w:t>
            </w:r>
            <w:r w:rsidRPr="006535DB">
              <w:rPr>
                <w:sz w:val="20"/>
                <w:szCs w:val="20"/>
              </w:rPr>
              <w:br/>
              <w:t>Срок годности - не менее 6 месяцев, остаточный срок годност</w:t>
            </w:r>
            <w:r w:rsidRPr="006535DB">
              <w:rPr>
                <w:sz w:val="20"/>
                <w:szCs w:val="20"/>
              </w:rPr>
              <w:t>и не менее 80% от заявленного.</w:t>
            </w:r>
          </w:p>
        </w:tc>
      </w:tr>
    </w:tbl>
    <w:p w:rsidR="000B5C6D" w:rsidRPr="00CD79EC" w:rsidRDefault="000B5C6D" w:rsidP="00CD79EC">
      <w:pPr>
        <w:rPr>
          <w:sz w:val="20"/>
          <w:szCs w:val="20"/>
        </w:rPr>
      </w:pPr>
    </w:p>
    <w:p w:rsidR="00AE4489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:rsidR="007003B8" w:rsidRPr="006E4111" w:rsidRDefault="007003B8" w:rsidP="007003B8">
      <w:pPr>
        <w:tabs>
          <w:tab w:val="left" w:pos="3525"/>
          <w:tab w:val="left" w:pos="4294"/>
        </w:tabs>
        <w:jc w:val="both"/>
      </w:pPr>
      <w:r w:rsidRPr="00197505">
        <w:rPr>
          <w:b/>
        </w:rPr>
        <w:lastRenderedPageBreak/>
        <w:t>Срок поставки товара:</w:t>
      </w:r>
      <w:r w:rsidRPr="006E4111">
        <w:t xml:space="preserve"> </w:t>
      </w:r>
      <w:r w:rsidR="00917E90">
        <w:t xml:space="preserve">в течении </w:t>
      </w:r>
      <w:r w:rsidR="006535DB">
        <w:t>30</w:t>
      </w:r>
      <w:r w:rsidR="00917E90">
        <w:t xml:space="preserve"> (</w:t>
      </w:r>
      <w:r w:rsidR="006535DB">
        <w:t>тридцати</w:t>
      </w:r>
      <w:r w:rsidR="00917E90">
        <w:t xml:space="preserve">) </w:t>
      </w:r>
      <w:r w:rsidR="00406123">
        <w:t>календарных</w:t>
      </w:r>
      <w:r w:rsidR="00917E90">
        <w:t xml:space="preserve"> дней </w:t>
      </w:r>
      <w:r w:rsidR="002572A6">
        <w:t>с даты оформления заказа</w:t>
      </w:r>
      <w:r w:rsidR="00917E90">
        <w:t xml:space="preserve"> в АСЗ «Электронный магазин» с возможностью досрочной поставки</w:t>
      </w:r>
      <w:r w:rsidRPr="006E4111">
        <w:t>, по адресу: 672010, Забайкальский край, г. Чита, ул. Ленина – 4.</w:t>
      </w:r>
    </w:p>
    <w:p w:rsidR="00E0283B" w:rsidRDefault="00406123" w:rsidP="00BA72CE">
      <w:pPr>
        <w:jc w:val="both"/>
        <w:rPr>
          <w:b/>
          <w:i/>
        </w:rPr>
      </w:pPr>
      <w:r w:rsidRPr="00406123">
        <w:rPr>
          <w:b/>
        </w:rPr>
        <w:t>Гарантийный срок на товар: Должен составлять не менее 80% от срока годности, установленного производителем.</w:t>
      </w:r>
    </w:p>
    <w:p w:rsidR="00E0283B" w:rsidRDefault="00E0283B" w:rsidP="00BA72CE">
      <w:pPr>
        <w:jc w:val="both"/>
        <w:rPr>
          <w:b/>
          <w:i/>
        </w:rPr>
      </w:pPr>
    </w:p>
    <w:p w:rsidR="00917E90" w:rsidRDefault="00917E90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8575E9" w:rsidRDefault="008575E9" w:rsidP="00BA72CE">
      <w:pPr>
        <w:jc w:val="both"/>
        <w:rPr>
          <w:b/>
          <w:i/>
        </w:rPr>
      </w:pPr>
    </w:p>
    <w:p w:rsidR="00BA72CE" w:rsidRDefault="008575E9" w:rsidP="00BA72CE">
      <w:pPr>
        <w:jc w:val="both"/>
      </w:pPr>
      <w:r>
        <w:rPr>
          <w:b/>
          <w:i/>
        </w:rPr>
        <w:t>Директор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392B31"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27" w:rsidRDefault="00E42D27" w:rsidP="000F1393">
      <w:r>
        <w:separator/>
      </w:r>
    </w:p>
  </w:endnote>
  <w:endnote w:type="continuationSeparator" w:id="0">
    <w:p w:rsidR="00E42D27" w:rsidRDefault="00E42D27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27" w:rsidRDefault="00E42D27" w:rsidP="000F1393">
      <w:r>
        <w:separator/>
      </w:r>
    </w:p>
  </w:footnote>
  <w:footnote w:type="continuationSeparator" w:id="0">
    <w:p w:rsidR="00E42D27" w:rsidRDefault="00E42D27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4EB"/>
    <w:multiLevelType w:val="hybridMultilevel"/>
    <w:tmpl w:val="3126F298"/>
    <w:lvl w:ilvl="0" w:tplc="6E8EC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A46FB"/>
    <w:multiLevelType w:val="hybridMultilevel"/>
    <w:tmpl w:val="FF9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3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26"/>
  </w:num>
  <w:num w:numId="5">
    <w:abstractNumId w:val="1"/>
  </w:num>
  <w:num w:numId="6">
    <w:abstractNumId w:val="3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5"/>
  </w:num>
  <w:num w:numId="14">
    <w:abstractNumId w:val="31"/>
  </w:num>
  <w:num w:numId="15">
    <w:abstractNumId w:val="27"/>
  </w:num>
  <w:num w:numId="16">
    <w:abstractNumId w:val="7"/>
  </w:num>
  <w:num w:numId="17">
    <w:abstractNumId w:val="0"/>
  </w:num>
  <w:num w:numId="18">
    <w:abstractNumId w:val="19"/>
  </w:num>
  <w:num w:numId="19">
    <w:abstractNumId w:val="8"/>
  </w:num>
  <w:num w:numId="20">
    <w:abstractNumId w:val="30"/>
  </w:num>
  <w:num w:numId="21">
    <w:abstractNumId w:val="22"/>
  </w:num>
  <w:num w:numId="22">
    <w:abstractNumId w:val="13"/>
  </w:num>
  <w:num w:numId="23">
    <w:abstractNumId w:val="17"/>
  </w:num>
  <w:num w:numId="24">
    <w:abstractNumId w:val="15"/>
  </w:num>
  <w:num w:numId="25">
    <w:abstractNumId w:val="29"/>
  </w:num>
  <w:num w:numId="26">
    <w:abstractNumId w:val="25"/>
  </w:num>
  <w:num w:numId="27">
    <w:abstractNumId w:val="9"/>
  </w:num>
  <w:num w:numId="28">
    <w:abstractNumId w:val="24"/>
  </w:num>
  <w:num w:numId="29">
    <w:abstractNumId w:val="28"/>
  </w:num>
  <w:num w:numId="30">
    <w:abstractNumId w:val="3"/>
  </w:num>
  <w:num w:numId="31">
    <w:abstractNumId w:val="33"/>
  </w:num>
  <w:num w:numId="32">
    <w:abstractNumId w:val="2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11DF"/>
    <w:rsid w:val="000920E8"/>
    <w:rsid w:val="00097B00"/>
    <w:rsid w:val="000A5627"/>
    <w:rsid w:val="000B1367"/>
    <w:rsid w:val="000B35CE"/>
    <w:rsid w:val="000B5C6D"/>
    <w:rsid w:val="000C00B7"/>
    <w:rsid w:val="000C3B03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178"/>
    <w:rsid w:val="00193E41"/>
    <w:rsid w:val="00193F80"/>
    <w:rsid w:val="00196131"/>
    <w:rsid w:val="00197505"/>
    <w:rsid w:val="00197697"/>
    <w:rsid w:val="001A5842"/>
    <w:rsid w:val="001A6472"/>
    <w:rsid w:val="001B113B"/>
    <w:rsid w:val="001B1390"/>
    <w:rsid w:val="001B3A57"/>
    <w:rsid w:val="001B4E3D"/>
    <w:rsid w:val="001B6630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054A2"/>
    <w:rsid w:val="00210BA4"/>
    <w:rsid w:val="00213C2F"/>
    <w:rsid w:val="00215429"/>
    <w:rsid w:val="002177D6"/>
    <w:rsid w:val="00217947"/>
    <w:rsid w:val="00217F73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572A6"/>
    <w:rsid w:val="0026040E"/>
    <w:rsid w:val="00261F99"/>
    <w:rsid w:val="00262EA6"/>
    <w:rsid w:val="00262F20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26F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2B31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E7AF4"/>
    <w:rsid w:val="003F0711"/>
    <w:rsid w:val="003F26E6"/>
    <w:rsid w:val="003F4060"/>
    <w:rsid w:val="003F7832"/>
    <w:rsid w:val="00401EEF"/>
    <w:rsid w:val="00402C7A"/>
    <w:rsid w:val="00406123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2F2B"/>
    <w:rsid w:val="004C444B"/>
    <w:rsid w:val="004C4815"/>
    <w:rsid w:val="004C4BE3"/>
    <w:rsid w:val="004C5CD4"/>
    <w:rsid w:val="004D4819"/>
    <w:rsid w:val="004E09A3"/>
    <w:rsid w:val="004E09E6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B50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2F0B"/>
    <w:rsid w:val="005A670B"/>
    <w:rsid w:val="005B0CBF"/>
    <w:rsid w:val="005B7E52"/>
    <w:rsid w:val="005C36D4"/>
    <w:rsid w:val="005C40CA"/>
    <w:rsid w:val="005C6223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0534"/>
    <w:rsid w:val="005F1A4C"/>
    <w:rsid w:val="005F4359"/>
    <w:rsid w:val="005F47B0"/>
    <w:rsid w:val="005F57CB"/>
    <w:rsid w:val="005F60D1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249"/>
    <w:rsid w:val="00635365"/>
    <w:rsid w:val="0064199D"/>
    <w:rsid w:val="00642567"/>
    <w:rsid w:val="00644FAA"/>
    <w:rsid w:val="00651415"/>
    <w:rsid w:val="006535DB"/>
    <w:rsid w:val="00653F39"/>
    <w:rsid w:val="006551C5"/>
    <w:rsid w:val="00657E8E"/>
    <w:rsid w:val="00662217"/>
    <w:rsid w:val="00664759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49D"/>
    <w:rsid w:val="00690888"/>
    <w:rsid w:val="00692DE6"/>
    <w:rsid w:val="00695C9A"/>
    <w:rsid w:val="00697937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3725"/>
    <w:rsid w:val="006E4111"/>
    <w:rsid w:val="006E5EA3"/>
    <w:rsid w:val="006E7681"/>
    <w:rsid w:val="006F02C9"/>
    <w:rsid w:val="006F04CC"/>
    <w:rsid w:val="006F4824"/>
    <w:rsid w:val="007003B8"/>
    <w:rsid w:val="00703100"/>
    <w:rsid w:val="00704FCE"/>
    <w:rsid w:val="00705543"/>
    <w:rsid w:val="007109F0"/>
    <w:rsid w:val="00716B2F"/>
    <w:rsid w:val="007228BB"/>
    <w:rsid w:val="0072523D"/>
    <w:rsid w:val="0072557C"/>
    <w:rsid w:val="007276C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3E61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575E9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6AC5"/>
    <w:rsid w:val="00910751"/>
    <w:rsid w:val="00912FB9"/>
    <w:rsid w:val="00917BA0"/>
    <w:rsid w:val="00917E9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4AB6"/>
    <w:rsid w:val="009F5FA0"/>
    <w:rsid w:val="009F746C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19E3"/>
    <w:rsid w:val="00AA4ACC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487A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2C0"/>
    <w:rsid w:val="00B505B5"/>
    <w:rsid w:val="00B6163D"/>
    <w:rsid w:val="00B64FC4"/>
    <w:rsid w:val="00B725F0"/>
    <w:rsid w:val="00B746BD"/>
    <w:rsid w:val="00B80050"/>
    <w:rsid w:val="00B840BF"/>
    <w:rsid w:val="00B85533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009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50C57"/>
    <w:rsid w:val="00C55FF1"/>
    <w:rsid w:val="00C5697E"/>
    <w:rsid w:val="00C570A0"/>
    <w:rsid w:val="00C605CD"/>
    <w:rsid w:val="00C64B2F"/>
    <w:rsid w:val="00C65494"/>
    <w:rsid w:val="00C666A2"/>
    <w:rsid w:val="00C66E3B"/>
    <w:rsid w:val="00C71BF6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447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2DFF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4D7B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0342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D7242"/>
    <w:rsid w:val="00DE2696"/>
    <w:rsid w:val="00DE48E6"/>
    <w:rsid w:val="00E0032C"/>
    <w:rsid w:val="00E01E6F"/>
    <w:rsid w:val="00E02129"/>
    <w:rsid w:val="00E02482"/>
    <w:rsid w:val="00E0283B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4058"/>
    <w:rsid w:val="00E27F99"/>
    <w:rsid w:val="00E323C3"/>
    <w:rsid w:val="00E33392"/>
    <w:rsid w:val="00E33EF8"/>
    <w:rsid w:val="00E36C43"/>
    <w:rsid w:val="00E37268"/>
    <w:rsid w:val="00E42D27"/>
    <w:rsid w:val="00E42F47"/>
    <w:rsid w:val="00E46A6E"/>
    <w:rsid w:val="00E51CAC"/>
    <w:rsid w:val="00E52161"/>
    <w:rsid w:val="00E609C6"/>
    <w:rsid w:val="00E60B5D"/>
    <w:rsid w:val="00E63A44"/>
    <w:rsid w:val="00E6586A"/>
    <w:rsid w:val="00E71CF3"/>
    <w:rsid w:val="00E74A58"/>
    <w:rsid w:val="00E75725"/>
    <w:rsid w:val="00E76842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877D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513C0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EE92-6E13-457C-8A4E-1D6E7AE3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2019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205</cp:revision>
  <cp:lastPrinted>2023-12-18T00:32:00Z</cp:lastPrinted>
  <dcterms:created xsi:type="dcterms:W3CDTF">2019-05-07T08:05:00Z</dcterms:created>
  <dcterms:modified xsi:type="dcterms:W3CDTF">2024-05-03T04:17:00Z</dcterms:modified>
</cp:coreProperties>
</file>