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78" w:rsidRPr="00D9493C" w:rsidRDefault="005B7678" w:rsidP="00D9493C">
      <w:pPr>
        <w:jc w:val="center"/>
        <w:rPr>
          <w:rFonts w:ascii="Times New Roman" w:eastAsia="Times New Roman" w:hAnsi="Times New Roman" w:cs="Times New Roman"/>
          <w:b/>
          <w:sz w:val="24"/>
          <w:szCs w:val="24"/>
        </w:rPr>
      </w:pPr>
      <w:r w:rsidRPr="00D9493C">
        <w:rPr>
          <w:rFonts w:ascii="Times New Roman" w:eastAsia="Times New Roman" w:hAnsi="Times New Roman" w:cs="Times New Roman"/>
          <w:b/>
          <w:sz w:val="24"/>
          <w:szCs w:val="24"/>
        </w:rPr>
        <w:t>Техническое задание</w:t>
      </w:r>
    </w:p>
    <w:p w:rsidR="009970C1" w:rsidRPr="00994011" w:rsidRDefault="00B43A6E" w:rsidP="009970C1">
      <w:pPr>
        <w:pStyle w:val="a5"/>
        <w:ind w:left="284" w:firstLine="567"/>
        <w:jc w:val="both"/>
        <w:rPr>
          <w:rFonts w:ascii="Times New Roman" w:hAnsi="Times New Roman" w:cs="Times New Roman"/>
          <w:lang w:val="ru-RU" w:eastAsia="ru-RU"/>
        </w:rPr>
      </w:pPr>
      <w:r w:rsidRPr="00994011">
        <w:rPr>
          <w:rFonts w:ascii="Times New Roman" w:hAnsi="Times New Roman" w:cs="Times New Roman"/>
          <w:lang w:val="ru-RU" w:eastAsia="ru-RU"/>
        </w:rPr>
        <w:t>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w:t>
      </w:r>
      <w:r w:rsidR="009970C1" w:rsidRPr="009970C1">
        <w:rPr>
          <w:rFonts w:ascii="Times New Roman" w:hAnsi="Times New Roman" w:cs="Times New Roman"/>
          <w:lang w:val="ru-RU" w:eastAsia="ru-RU"/>
        </w:rPr>
        <w:t xml:space="preserve"> </w:t>
      </w:r>
      <w:hyperlink r:id="rId9" w:history="1">
        <w:r w:rsidR="009970C1" w:rsidRPr="0001662C">
          <w:rPr>
            <w:rStyle w:val="ab"/>
            <w:rFonts w:ascii="Times New Roman" w:hAnsi="Times New Roman" w:cs="Times New Roman"/>
            <w:lang w:val="ru-RU" w:eastAsia="ru-RU"/>
          </w:rPr>
          <w:t>https://ufa.rzd-medicine.ru</w:t>
        </w:r>
      </w:hyperlink>
      <w:r w:rsidR="009970C1" w:rsidRPr="00C10A50">
        <w:rPr>
          <w:rFonts w:ascii="Times New Roman" w:hAnsi="Times New Roman" w:cs="Times New Roman"/>
          <w:lang w:val="ru-RU" w:eastAsia="ru-RU"/>
        </w:rPr>
        <w:t xml:space="preserve"> </w:t>
      </w:r>
      <w:r w:rsidR="009970C1" w:rsidRPr="00994011">
        <w:rPr>
          <w:rFonts w:ascii="Times New Roman" w:hAnsi="Times New Roman" w:cs="Times New Roman"/>
          <w:lang w:val="ru-RU" w:eastAsia="ru-RU"/>
        </w:rPr>
        <w:t xml:space="preserve"> </w:t>
      </w:r>
      <w:r w:rsidR="009970C1">
        <w:rPr>
          <w:rFonts w:ascii="Times New Roman" w:hAnsi="Times New Roman" w:cs="Times New Roman"/>
          <w:lang w:val="ru-RU" w:eastAsia="ru-RU"/>
        </w:rPr>
        <w:t xml:space="preserve">в </w:t>
      </w:r>
      <w:r w:rsidR="009970C1" w:rsidRPr="00994011">
        <w:rPr>
          <w:rFonts w:ascii="Times New Roman" w:hAnsi="Times New Roman" w:cs="Times New Roman"/>
          <w:lang w:val="ru-RU" w:eastAsia="ru-RU"/>
        </w:rPr>
        <w:t>разделе - Закупки.</w:t>
      </w:r>
    </w:p>
    <w:p w:rsidR="00994011" w:rsidRPr="00994011" w:rsidRDefault="00994011" w:rsidP="00D9493C">
      <w:pPr>
        <w:pStyle w:val="a5"/>
        <w:ind w:left="284" w:firstLine="567"/>
        <w:jc w:val="both"/>
        <w:rPr>
          <w:rFonts w:ascii="Times New Roman" w:hAnsi="Times New Roman" w:cs="Times New Roman"/>
          <w:lang w:val="ru-RU" w:eastAsia="ru-RU"/>
        </w:rPr>
      </w:pPr>
    </w:p>
    <w:p w:rsidR="003E667F" w:rsidRDefault="00352D2B" w:rsidP="00352D2B">
      <w:pPr>
        <w:pStyle w:val="a5"/>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tbl>
      <w:tblPr>
        <w:tblW w:w="0" w:type="auto"/>
        <w:tblInd w:w="6" w:type="dxa"/>
        <w:tblLayout w:type="fixed"/>
        <w:tblCellMar>
          <w:left w:w="0" w:type="dxa"/>
          <w:right w:w="0" w:type="dxa"/>
        </w:tblCellMar>
        <w:tblLook w:val="04A0"/>
      </w:tblPr>
      <w:tblGrid>
        <w:gridCol w:w="722"/>
        <w:gridCol w:w="2389"/>
        <w:gridCol w:w="853"/>
        <w:gridCol w:w="932"/>
        <w:gridCol w:w="5169"/>
      </w:tblGrid>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 п/п</w:t>
            </w:r>
          </w:p>
        </w:tc>
        <w:tc>
          <w:tcPr>
            <w:tcW w:w="2389"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Наименование параметра (функциональные и качественные характеристики товара)</w:t>
            </w:r>
          </w:p>
        </w:tc>
        <w:tc>
          <w:tcPr>
            <w:tcW w:w="853"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Ед. изм</w:t>
            </w:r>
            <w:r>
              <w:rPr>
                <w:rFonts w:ascii="Times New Roman" w:hAnsi="Times New Roman" w:cs="Times New Roman"/>
                <w:b/>
              </w:rPr>
              <w:t>.</w:t>
            </w:r>
          </w:p>
        </w:tc>
        <w:tc>
          <w:tcPr>
            <w:tcW w:w="932"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Кол-во шт.</w:t>
            </w:r>
          </w:p>
        </w:tc>
        <w:tc>
          <w:tcPr>
            <w:tcW w:w="5169"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Техническое требование</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p>
        </w:tc>
        <w:tc>
          <w:tcPr>
            <w:tcW w:w="2389"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Регистрационное удостоверения Минздрава России</w:t>
            </w:r>
          </w:p>
        </w:tc>
        <w:tc>
          <w:tcPr>
            <w:tcW w:w="853"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vAlign w:val="center"/>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Наличие</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1</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Нейтральный электрод</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шт</w:t>
            </w: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2</w:t>
            </w: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1.1</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Код позиции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bookmarkStart w:id="0" w:name="OLE_LINK1"/>
            <w:r w:rsidRPr="003E667F">
              <w:rPr>
                <w:rFonts w:ascii="Times New Roman" w:hAnsi="Times New Roman" w:cs="Times New Roman"/>
              </w:rPr>
              <w:t>32.50.50.190</w:t>
            </w:r>
            <w:bookmarkEnd w:id="0"/>
            <w:r w:rsidRPr="003E667F">
              <w:rPr>
                <w:rFonts w:ascii="Times New Roman" w:hAnsi="Times New Roman" w:cs="Times New Roman"/>
              </w:rPr>
              <w:t>-00000635</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1.2</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Описание по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3E667F">
            <w:pPr>
              <w:spacing w:after="0" w:line="240" w:lineRule="auto"/>
              <w:jc w:val="both"/>
              <w:rPr>
                <w:rFonts w:ascii="Times New Roman" w:hAnsi="Times New Roman" w:cs="Times New Roman"/>
              </w:rPr>
            </w:pPr>
            <w:r w:rsidRPr="003E667F">
              <w:rPr>
                <w:rFonts w:ascii="Times New Roman" w:hAnsi="Times New Roman" w:cs="Times New Roman"/>
              </w:rPr>
              <w:t>Диспергирующий проводник, предназначенный для закрепления на пациенте и подключения к электрохирургическому генератору/генератору системы радиочастотной абляции для обеспечения возврата электрического тока от пациента к генератору во время электрохирургической процедуры. Имеет большую площадь поверхности и фиксируется на теле пациента, как правило, в месте, обеспечивающем максимальную площадь поверхностного контакта в непосредственной близости от операционного поля. В комплект могут входить постоянно подключенные кабели. Это изделие для многоразового использования.</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1.3</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Функциональное назначение</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Возвратный электрод при работе в монополярных режимах</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1.4</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Площадь активной поверхности, см² (± 5%)</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408</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1.5</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Тип</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многоразовый</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1.6</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Материал</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токопроводящая резина</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2</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Кабель нейтрального электрода</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шт</w:t>
            </w: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2</w:t>
            </w: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2.1</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Код позиции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32.50.50.190-00000635</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2.2</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Описание по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3E667F">
            <w:pPr>
              <w:spacing w:after="0" w:line="240" w:lineRule="auto"/>
              <w:jc w:val="both"/>
              <w:rPr>
                <w:rFonts w:ascii="Times New Roman" w:hAnsi="Times New Roman" w:cs="Times New Roman"/>
              </w:rPr>
            </w:pPr>
            <w:r w:rsidRPr="003E667F">
              <w:rPr>
                <w:rFonts w:ascii="Times New Roman" w:hAnsi="Times New Roman" w:cs="Times New Roman"/>
              </w:rPr>
              <w:t>Диспергирующий проводник, предназначенный для закрепления на пациенте и подключения к электрохирургическому генератору/генератору системы радиочастотной абляции для обеспечения возврата электрического тока от пациента к генератору во время электрохирургической процедуры. Имеет большую площадь поверхности и фиксируется на теле пациента, как правило, в месте, обеспечивающем максимальную площадь поверхностного контакта в непосредственной близости от операционного поля. В комплект могут входить постоянно подключенные кабели. Это изделие для многоразового использования.</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2.3</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Функциональное назначение</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Для подключения к ЭХВЧ аппаратам многоразовых нейтральных электродов с разъемом два штекера 4 мм</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2.4</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Длина кабеля, м, (± 5%)</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2.5</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Тип</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Аппаратная часть "джек"</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2.6</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Метод стерилизации</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Дезинфекция</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3</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Биполярный инструмент</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шт</w:t>
            </w: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6</w:t>
            </w: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lastRenderedPageBreak/>
              <w:t>3.1</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Код позиции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32.50.50.190-00000072</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3.2</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Описание по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3E667F">
            <w:pPr>
              <w:spacing w:after="0" w:line="240" w:lineRule="auto"/>
              <w:jc w:val="both"/>
              <w:rPr>
                <w:rFonts w:ascii="Times New Roman" w:hAnsi="Times New Roman" w:cs="Times New Roman"/>
              </w:rPr>
            </w:pPr>
            <w:r w:rsidRPr="003E667F">
              <w:rPr>
                <w:rFonts w:ascii="Times New Roman" w:hAnsi="Times New Roman" w:cs="Times New Roman"/>
              </w:rPr>
              <w:t>Ручной двухполюсный инструмент, который проводит высокочастотный электрический ток в полосе радиочастот (РЧ) для получения тепла в клетках с целью разрезания и коагулирования плоской ткани в плотных органах во время открытых хирургических или лапароскопических процедур, например, частичная резекция печени или почки. Он создает электрическую цепь между пациентом и соответствующим электрохирургическим генератором с РЧ-энергией обычно в диапазоне от 400 до 500 килогерц (кГц).</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3.3</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Функциональное назначение</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Электрод для биполярной коагуляции, пинцет биполярный</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3.4</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Общая длина включая разъём для подключения держателя (кабеля) и рабочую часть, мм (± 5%)</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135</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3.5</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Размер рабочих концов пинцета, мм (± 5%)</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6 х 0,7</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3.6</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Особенности электрода</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микрохирургический прямой антипригарный</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3.7</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Метод стерилизации</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Автоклавирование</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3.8</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Тип разъёма для подключения к держателю (кабелю)</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Два плоских контакта, "евростандарт"</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3.9</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Материал рабочей части</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медь</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4</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Биполярный инструмент</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шт</w:t>
            </w: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2</w:t>
            </w: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4.1</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Код позиции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32.50.50.190-00000072</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4.2</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Описание по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3E667F">
            <w:pPr>
              <w:spacing w:after="0" w:line="240" w:lineRule="auto"/>
              <w:jc w:val="both"/>
              <w:rPr>
                <w:rFonts w:ascii="Times New Roman" w:hAnsi="Times New Roman" w:cs="Times New Roman"/>
              </w:rPr>
            </w:pPr>
            <w:r w:rsidRPr="003E667F">
              <w:rPr>
                <w:rFonts w:ascii="Times New Roman" w:hAnsi="Times New Roman" w:cs="Times New Roman"/>
              </w:rPr>
              <w:t>Ручной двухполюсный инструмент, который проводит высокочастотный электрический ток в полосе радиочастот (РЧ) для получения тепла в клетках с целью разрезания и коагулирования плоской ткани в плотных органах во время открытых хирургических или лапароскопических процедур, например, частичная резекция печени или почки. Он создает электрическую цепь между пациентом и соответствующим электрохирургическим генератором с РЧ-энергией обычно в диапазоне от 400 до 500 килогерц (кГц).</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4.3</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Функциональное назначение</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Электрод для биполярной коагуляции, пинцет биполярный</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4.4</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Общая длина включая разъём для подключения держателя (кабеля) и рабочую часть, мм (± 5%)</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190</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4.5</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Размер рабочих концов пинцета, мм (± 5%)</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6 х 1</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4.6</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Особенности электрода</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байонетный прямой антипригарный</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4.7</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Метод стерилизации</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Автоклавирование</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4.8</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Тип разъёма для подключения к держателю (кабелю)</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Два плоских контакта, "евростандарт"</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4.9</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Материал рабочей части</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медь</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5</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Держатель биполярных инструментов</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шт</w:t>
            </w: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4</w:t>
            </w: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5.1</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Код позиции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32.50.50.190-00001083</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lastRenderedPageBreak/>
              <w:t>5.2</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Описание по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3E667F">
            <w:pPr>
              <w:spacing w:after="0" w:line="240" w:lineRule="auto"/>
              <w:jc w:val="both"/>
              <w:rPr>
                <w:rFonts w:ascii="Times New Roman" w:hAnsi="Times New Roman" w:cs="Times New Roman"/>
              </w:rPr>
            </w:pPr>
            <w:r w:rsidRPr="003E667F">
              <w:rPr>
                <w:rFonts w:ascii="Times New Roman" w:hAnsi="Times New Roman" w:cs="Times New Roman"/>
              </w:rPr>
              <w:t>"Переносной компонент электрохирургической системы, предназначенный для обеспечения электрического соединения между генератором системы и съемным электродом на дистальном конце, что позволяет хирургу осуществлять контролируемые манипуляции с электродом во время проведения хирургической операции; электрод к данному виду не относится. Изделие, как правило, имеет форму ручки с перманентно присоединенными кабелями для подключения к генератору; изделие не предназначено для использования во время аргон-усиленной электрохирургии. Это изделие, пригодное для многоразового использования."</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5.3</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Аппаратная часть</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Два штекера 4 мм</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5.4</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Инструментальная часть</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Подключение к пинцетам (евростандарт)</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5.5</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Длина кабеля, м (± 5%)</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5.6</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Материал изоляции кабеля</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Силиконовая смесь</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5.7</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Метод стерилизации</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Автоклавирование</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6</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Держатель биполярных инструментов</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шт</w:t>
            </w: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b/>
              </w:rPr>
              <w:t>2</w:t>
            </w: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6.1</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Код позиции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32.50.50.190-00001083</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6.2</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Описание по КТРУ</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3E667F">
            <w:pPr>
              <w:spacing w:after="0" w:line="240" w:lineRule="auto"/>
              <w:jc w:val="both"/>
              <w:rPr>
                <w:rFonts w:ascii="Times New Roman" w:hAnsi="Times New Roman" w:cs="Times New Roman"/>
              </w:rPr>
            </w:pPr>
            <w:r w:rsidRPr="003E667F">
              <w:rPr>
                <w:rFonts w:ascii="Times New Roman" w:hAnsi="Times New Roman" w:cs="Times New Roman"/>
              </w:rPr>
              <w:t>"Переносной компонент электрохирургической системы, предназначенный для обеспечения электрического соединения между генератором системы и съемным электродом на дистальном конце, что позволяет хирургу осуществлять контролируемые манипуляции с электродом во время проведения хирургической операции; электрод к данному виду не относится. Изделие, как правило, имеет форму ручки с перманентно присоединенными кабелями для подключения к генератору; изделие не предназначено для использования во время аргон-усиленной электрохирургии. Это изделие, пригодное для многоразового использования."</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6.3</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Аппаратная часть</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Два плоских контакта (ФОТЕК)</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6.4</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Инструментальная часть</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Подключение к пинцетам (евростандарт)</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6.5</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Длина кабеля, м (± 5%)</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3</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6.6</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Материал изоляции кабеля</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Силиконовая смесь</w:t>
            </w:r>
          </w:p>
        </w:tc>
      </w:tr>
      <w:tr w:rsidR="003E667F" w:rsidRPr="003E667F" w:rsidTr="004D78A2">
        <w:tblPrEx>
          <w:tblCellMar>
            <w:top w:w="0" w:type="dxa"/>
            <w:left w:w="0" w:type="dxa"/>
            <w:bottom w:w="0" w:type="dxa"/>
            <w:right w:w="0" w:type="dxa"/>
          </w:tblCellMar>
        </w:tblPrEx>
        <w:tc>
          <w:tcPr>
            <w:tcW w:w="72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6.7</w:t>
            </w:r>
          </w:p>
        </w:tc>
        <w:tc>
          <w:tcPr>
            <w:tcW w:w="238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Метод стерилизации</w:t>
            </w:r>
          </w:p>
        </w:tc>
        <w:tc>
          <w:tcPr>
            <w:tcW w:w="853"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932"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p>
        </w:tc>
        <w:tc>
          <w:tcPr>
            <w:tcW w:w="5169" w:type="dxa"/>
            <w:tcBorders>
              <w:top w:val="single" w:sz="5" w:space="0" w:color="auto"/>
              <w:left w:val="single" w:sz="5" w:space="0" w:color="auto"/>
              <w:bottom w:val="single" w:sz="5" w:space="0" w:color="auto"/>
              <w:right w:val="single" w:sz="5" w:space="0" w:color="auto"/>
            </w:tcBorders>
            <w:shd w:val="clear" w:color="FFFFFF" w:fill="auto"/>
          </w:tcPr>
          <w:p w:rsidR="003E667F" w:rsidRPr="003E667F" w:rsidRDefault="003E667F" w:rsidP="004D78A2">
            <w:pPr>
              <w:spacing w:after="0" w:line="240" w:lineRule="auto"/>
              <w:jc w:val="center"/>
              <w:rPr>
                <w:rFonts w:ascii="Times New Roman" w:hAnsi="Times New Roman" w:cs="Times New Roman"/>
              </w:rPr>
            </w:pPr>
            <w:r w:rsidRPr="003E667F">
              <w:rPr>
                <w:rFonts w:ascii="Times New Roman" w:hAnsi="Times New Roman" w:cs="Times New Roman"/>
              </w:rPr>
              <w:t>Автоклавирование</w:t>
            </w:r>
          </w:p>
        </w:tc>
      </w:tr>
    </w:tbl>
    <w:p w:rsidR="00E62585" w:rsidRDefault="00E62585" w:rsidP="00352D2B">
      <w:pPr>
        <w:pStyle w:val="a5"/>
        <w:jc w:val="both"/>
        <w:rPr>
          <w:rFonts w:ascii="Times New Roman" w:hAnsi="Times New Roman" w:cs="Times New Roman"/>
          <w:sz w:val="24"/>
          <w:szCs w:val="24"/>
          <w:lang w:val="ru-RU" w:eastAsia="ru-RU"/>
        </w:rPr>
      </w:pPr>
    </w:p>
    <w:p w:rsidR="00564E30" w:rsidRPr="003F3662" w:rsidRDefault="00352D2B" w:rsidP="00352D2B">
      <w:pPr>
        <w:pStyle w:val="a5"/>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p w:rsidR="00D9493C" w:rsidRPr="00B04E3B" w:rsidRDefault="00D9493C" w:rsidP="00352D2B">
      <w:pPr>
        <w:pStyle w:val="a5"/>
        <w:jc w:val="both"/>
        <w:rPr>
          <w:rFonts w:ascii="Times New Roman" w:hAnsi="Times New Roman" w:cs="Times New Roman"/>
          <w:sz w:val="24"/>
          <w:szCs w:val="24"/>
          <w:lang w:val="ru-RU" w:eastAsia="ru-RU"/>
        </w:rPr>
      </w:pPr>
    </w:p>
    <w:p w:rsidR="00EC0C6F" w:rsidRPr="002723D8" w:rsidRDefault="00EC0C6F" w:rsidP="00352D2B">
      <w:pPr>
        <w:pStyle w:val="a5"/>
        <w:jc w:val="both"/>
        <w:rPr>
          <w:rFonts w:ascii="Times New Roman" w:hAnsi="Times New Roman" w:cs="Times New Roman"/>
          <w:sz w:val="24"/>
          <w:szCs w:val="24"/>
          <w:lang w:val="ru-RU" w:eastAsia="ru-RU"/>
        </w:rPr>
      </w:pPr>
    </w:p>
    <w:tbl>
      <w:tblPr>
        <w:tblpPr w:leftFromText="180" w:rightFromText="180" w:vertAnchor="text" w:horzAnchor="margin" w:tblpXSpec="center" w:tblpY="4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741"/>
        <w:gridCol w:w="7642"/>
      </w:tblGrid>
      <w:tr w:rsidR="000505D3" w:rsidRPr="00994011" w:rsidTr="00300E96">
        <w:trPr>
          <w:trHeight w:val="410"/>
        </w:trPr>
        <w:tc>
          <w:tcPr>
            <w:tcW w:w="10173" w:type="dxa"/>
            <w:gridSpan w:val="3"/>
            <w:shd w:val="clear" w:color="auto" w:fill="auto"/>
            <w:hideMark/>
          </w:tcPr>
          <w:p w:rsidR="000505D3" w:rsidRPr="00994011" w:rsidRDefault="009576E7" w:rsidP="00651EE3">
            <w:pPr>
              <w:spacing w:after="0" w:line="240" w:lineRule="auto"/>
              <w:rPr>
                <w:rFonts w:ascii="Times New Roman" w:eastAsia="Times New Roman" w:hAnsi="Times New Roman" w:cs="Times New Roman"/>
                <w:b/>
                <w:iCs/>
                <w:sz w:val="20"/>
                <w:szCs w:val="20"/>
              </w:rPr>
            </w:pPr>
            <w:r w:rsidRPr="00994011">
              <w:rPr>
                <w:rFonts w:ascii="Times New Roman" w:hAnsi="Times New Roman" w:cs="Times New Roman"/>
                <w:b/>
                <w:bCs/>
                <w:sz w:val="20"/>
                <w:szCs w:val="20"/>
              </w:rPr>
              <w:t xml:space="preserve">1. </w:t>
            </w:r>
            <w:r w:rsidR="000505D3" w:rsidRPr="00994011">
              <w:rPr>
                <w:rFonts w:ascii="Times New Roman" w:eastAsia="Times New Roman" w:hAnsi="Times New Roman"/>
                <w:b/>
                <w:bCs/>
                <w:sz w:val="20"/>
                <w:szCs w:val="20"/>
              </w:rPr>
              <w:t>Стоимость товара должна включать</w:t>
            </w:r>
          </w:p>
        </w:tc>
      </w:tr>
      <w:tr w:rsidR="00651EE3" w:rsidRPr="00994011" w:rsidTr="00300E96">
        <w:trPr>
          <w:trHeight w:val="433"/>
        </w:trPr>
        <w:tc>
          <w:tcPr>
            <w:tcW w:w="10173" w:type="dxa"/>
            <w:gridSpan w:val="3"/>
            <w:shd w:val="clear" w:color="auto" w:fill="auto"/>
            <w:hideMark/>
          </w:tcPr>
          <w:p w:rsidR="00651EE3" w:rsidRPr="00994011" w:rsidRDefault="00651EE3" w:rsidP="006E1C34">
            <w:pPr>
              <w:spacing w:after="0" w:line="240" w:lineRule="auto"/>
              <w:rPr>
                <w:rFonts w:ascii="Times New Roman" w:hAnsi="Times New Roman" w:cs="Times New Roman"/>
                <w:b/>
                <w:bCs/>
                <w:sz w:val="20"/>
                <w:szCs w:val="20"/>
              </w:rPr>
            </w:pPr>
            <w:r w:rsidRPr="00994011">
              <w:rPr>
                <w:rFonts w:ascii="Times New Roman" w:hAnsi="Times New Roman"/>
                <w:bCs/>
                <w:sz w:val="20"/>
                <w:szCs w:val="20"/>
              </w:rPr>
              <w:t>Все расходы Поставщика, которые могут возникнуть в ходе исполнения договора, в том числе: страхование, уплата таможенных пошлин, налогов и др. обязательных платежей</w:t>
            </w:r>
          </w:p>
        </w:tc>
      </w:tr>
      <w:tr w:rsidR="000505D3" w:rsidRPr="00994011" w:rsidTr="00300E96">
        <w:trPr>
          <w:trHeight w:val="421"/>
        </w:trPr>
        <w:tc>
          <w:tcPr>
            <w:tcW w:w="10173" w:type="dxa"/>
            <w:gridSpan w:val="3"/>
            <w:shd w:val="clear" w:color="auto" w:fill="auto"/>
            <w:hideMark/>
          </w:tcPr>
          <w:p w:rsidR="000505D3" w:rsidRPr="00994011" w:rsidRDefault="000505D3" w:rsidP="006E1C34">
            <w:pPr>
              <w:spacing w:after="0" w:line="240" w:lineRule="auto"/>
              <w:rPr>
                <w:rFonts w:ascii="Times New Roman" w:eastAsia="Times New Roman" w:hAnsi="Times New Roman"/>
                <w:sz w:val="20"/>
                <w:szCs w:val="20"/>
              </w:rPr>
            </w:pPr>
            <w:r w:rsidRPr="00994011">
              <w:rPr>
                <w:rFonts w:ascii="Times New Roman" w:eastAsia="Times New Roman" w:hAnsi="Times New Roman"/>
                <w:b/>
                <w:bCs/>
                <w:sz w:val="20"/>
                <w:szCs w:val="20"/>
              </w:rPr>
              <w:t>2. Требования к товарам.</w:t>
            </w:r>
          </w:p>
        </w:tc>
      </w:tr>
      <w:tr w:rsidR="000505D3" w:rsidRPr="00994011" w:rsidTr="00300E96">
        <w:trPr>
          <w:trHeight w:val="613"/>
        </w:trPr>
        <w:tc>
          <w:tcPr>
            <w:tcW w:w="2531" w:type="dxa"/>
            <w:gridSpan w:val="2"/>
            <w:shd w:val="clear" w:color="auto" w:fill="auto"/>
            <w:hideMark/>
          </w:tcPr>
          <w:p w:rsidR="000505D3" w:rsidRPr="00994011" w:rsidRDefault="000505D3" w:rsidP="006E1C34">
            <w:pPr>
              <w:spacing w:after="0" w:line="240" w:lineRule="auto"/>
              <w:rPr>
                <w:rFonts w:ascii="Times New Roman" w:eastAsia="Times New Roman" w:hAnsi="Times New Roman"/>
                <w:sz w:val="20"/>
                <w:szCs w:val="20"/>
              </w:rPr>
            </w:pPr>
            <w:r w:rsidRPr="00994011">
              <w:rPr>
                <w:rFonts w:ascii="Times New Roman" w:eastAsia="Times New Roman" w:hAnsi="Times New Roman"/>
                <w:sz w:val="20"/>
                <w:szCs w:val="20"/>
              </w:rPr>
              <w:t>Требования   к качеству   товара</w:t>
            </w:r>
          </w:p>
          <w:p w:rsidR="000505D3" w:rsidRPr="00994011" w:rsidRDefault="000505D3" w:rsidP="006E1C34">
            <w:pPr>
              <w:spacing w:after="0" w:line="240" w:lineRule="auto"/>
              <w:rPr>
                <w:rFonts w:ascii="Times New Roman" w:eastAsia="Times New Roman" w:hAnsi="Times New Roman"/>
                <w:color w:val="000000"/>
                <w:sz w:val="20"/>
                <w:szCs w:val="20"/>
              </w:rPr>
            </w:pPr>
          </w:p>
        </w:tc>
        <w:tc>
          <w:tcPr>
            <w:tcW w:w="7642" w:type="dxa"/>
            <w:shd w:val="clear" w:color="auto" w:fill="auto"/>
            <w:hideMark/>
          </w:tcPr>
          <w:p w:rsidR="000505D3" w:rsidRPr="00994011" w:rsidRDefault="000505D3" w:rsidP="000505D3">
            <w:pPr>
              <w:tabs>
                <w:tab w:val="right" w:pos="9356"/>
              </w:tabs>
              <w:ind w:right="-5"/>
              <w:jc w:val="both"/>
              <w:rPr>
                <w:rFonts w:ascii="Times New Roman" w:hAnsi="Times New Roman"/>
                <w:sz w:val="20"/>
                <w:szCs w:val="20"/>
              </w:rPr>
            </w:pPr>
            <w:r w:rsidRPr="00994011">
              <w:rPr>
                <w:rFonts w:ascii="Times New Roman" w:hAnsi="Times New Roman"/>
                <w:sz w:val="20"/>
                <w:szCs w:val="20"/>
              </w:rPr>
              <w:t>Т</w:t>
            </w:r>
            <w:r w:rsidRPr="00994011">
              <w:rPr>
                <w:rFonts w:ascii="Times New Roman" w:hAnsi="Times New Roman"/>
                <w:bCs/>
                <w:sz w:val="20"/>
                <w:szCs w:val="20"/>
              </w:rPr>
              <w:t xml:space="preserve">овар, заявленный к поставке, </w:t>
            </w:r>
            <w:r w:rsidRPr="00994011">
              <w:rPr>
                <w:rFonts w:ascii="Times New Roman" w:hAnsi="Times New Roman"/>
                <w:sz w:val="20"/>
                <w:szCs w:val="20"/>
              </w:rPr>
              <w:t>должен соответствовать по качеству и техническим характеристикам, указанным в ценовом запросе.</w:t>
            </w:r>
          </w:p>
        </w:tc>
      </w:tr>
      <w:tr w:rsidR="000505D3" w:rsidRPr="00994011" w:rsidTr="00300E96">
        <w:trPr>
          <w:trHeight w:val="559"/>
        </w:trPr>
        <w:tc>
          <w:tcPr>
            <w:tcW w:w="2531" w:type="dxa"/>
            <w:gridSpan w:val="2"/>
            <w:shd w:val="clear" w:color="auto" w:fill="auto"/>
            <w:hideMark/>
          </w:tcPr>
          <w:p w:rsidR="000505D3" w:rsidRPr="00994011" w:rsidRDefault="000505D3" w:rsidP="006E1C34">
            <w:pPr>
              <w:spacing w:after="0" w:line="240" w:lineRule="auto"/>
              <w:rPr>
                <w:rFonts w:ascii="Times New Roman" w:eastAsia="Times New Roman" w:hAnsi="Times New Roman"/>
                <w:color w:val="000000"/>
                <w:sz w:val="20"/>
                <w:szCs w:val="20"/>
              </w:rPr>
            </w:pPr>
            <w:r w:rsidRPr="00994011">
              <w:rPr>
                <w:rFonts w:ascii="Times New Roman" w:eastAsia="Times New Roman" w:hAnsi="Times New Roman"/>
                <w:sz w:val="20"/>
                <w:szCs w:val="20"/>
              </w:rPr>
              <w:t>Требования        к</w:t>
            </w:r>
            <w:r w:rsidRPr="00994011">
              <w:rPr>
                <w:rFonts w:ascii="Times New Roman" w:eastAsia="Times New Roman" w:hAnsi="Times New Roman"/>
                <w:sz w:val="20"/>
                <w:szCs w:val="20"/>
              </w:rPr>
              <w:br/>
              <w:t>упаковке товара</w:t>
            </w:r>
          </w:p>
        </w:tc>
        <w:tc>
          <w:tcPr>
            <w:tcW w:w="7642" w:type="dxa"/>
            <w:shd w:val="clear" w:color="auto" w:fill="auto"/>
            <w:hideMark/>
          </w:tcPr>
          <w:p w:rsidR="000505D3" w:rsidRPr="00994011" w:rsidRDefault="000505D3" w:rsidP="006E1C34">
            <w:pPr>
              <w:spacing w:after="0" w:line="240" w:lineRule="auto"/>
              <w:rPr>
                <w:rFonts w:ascii="Times New Roman" w:eastAsia="Times New Roman" w:hAnsi="Times New Roman"/>
                <w:color w:val="000000"/>
                <w:sz w:val="20"/>
                <w:szCs w:val="20"/>
              </w:rPr>
            </w:pPr>
            <w:r w:rsidRPr="00994011">
              <w:rPr>
                <w:rFonts w:ascii="Times New Roman" w:hAnsi="Times New Roman"/>
                <w:snapToGrid w:val="0"/>
                <w:color w:val="000000"/>
                <w:sz w:val="20"/>
                <w:szCs w:val="20"/>
              </w:rPr>
              <w:t>Товар поставляется в заводской упаковке</w:t>
            </w:r>
            <w:r w:rsidRPr="00994011">
              <w:rPr>
                <w:rFonts w:ascii="Times New Roman" w:eastAsia="Times New Roman" w:hAnsi="Times New Roman"/>
                <w:iCs/>
                <w:sz w:val="20"/>
                <w:szCs w:val="20"/>
              </w:rPr>
              <w:t>, позволяющей обеспечить сохранность Товара от повреждений при его отгрузке, перевозке и хранении.</w:t>
            </w:r>
          </w:p>
        </w:tc>
      </w:tr>
      <w:tr w:rsidR="000505D3" w:rsidRPr="00994011" w:rsidTr="00300E96">
        <w:trPr>
          <w:trHeight w:val="332"/>
        </w:trPr>
        <w:tc>
          <w:tcPr>
            <w:tcW w:w="10173" w:type="dxa"/>
            <w:gridSpan w:val="3"/>
            <w:shd w:val="clear" w:color="auto" w:fill="auto"/>
            <w:hideMark/>
          </w:tcPr>
          <w:p w:rsidR="000505D3" w:rsidRPr="00994011" w:rsidRDefault="000505D3" w:rsidP="00651EE3">
            <w:pPr>
              <w:tabs>
                <w:tab w:val="left" w:pos="284"/>
              </w:tabs>
              <w:spacing w:after="0" w:line="240" w:lineRule="auto"/>
              <w:rPr>
                <w:rFonts w:ascii="Times New Roman" w:hAnsi="Times New Roman" w:cs="Times New Roman"/>
                <w:snapToGrid w:val="0"/>
                <w:sz w:val="20"/>
                <w:szCs w:val="20"/>
              </w:rPr>
            </w:pPr>
            <w:r w:rsidRPr="00994011">
              <w:rPr>
                <w:rFonts w:ascii="Times New Roman" w:eastAsia="Times New Roman" w:hAnsi="Times New Roman"/>
                <w:b/>
                <w:bCs/>
                <w:sz w:val="20"/>
                <w:szCs w:val="20"/>
              </w:rPr>
              <w:t>3.</w:t>
            </w:r>
            <w:r w:rsidRPr="00994011">
              <w:rPr>
                <w:rFonts w:ascii="Times New Roman" w:hAnsi="Times New Roman"/>
                <w:b/>
                <w:snapToGrid w:val="0"/>
                <w:color w:val="000000"/>
                <w:sz w:val="20"/>
                <w:szCs w:val="20"/>
              </w:rPr>
              <w:t>Условия поставки товара</w:t>
            </w:r>
            <w:r w:rsidR="00651EE3" w:rsidRPr="00994011">
              <w:rPr>
                <w:rFonts w:ascii="Times New Roman" w:hAnsi="Times New Roman"/>
                <w:b/>
                <w:snapToGrid w:val="0"/>
                <w:color w:val="000000"/>
                <w:sz w:val="20"/>
                <w:szCs w:val="20"/>
              </w:rPr>
              <w:t xml:space="preserve">. </w:t>
            </w:r>
          </w:p>
        </w:tc>
      </w:tr>
      <w:tr w:rsidR="00651EE3" w:rsidRPr="00994011" w:rsidTr="00300E96">
        <w:trPr>
          <w:trHeight w:val="549"/>
        </w:trPr>
        <w:tc>
          <w:tcPr>
            <w:tcW w:w="10173" w:type="dxa"/>
            <w:gridSpan w:val="3"/>
            <w:shd w:val="clear" w:color="auto" w:fill="auto"/>
            <w:hideMark/>
          </w:tcPr>
          <w:p w:rsidR="00651EE3" w:rsidRPr="00994011" w:rsidRDefault="00651EE3" w:rsidP="003E667F">
            <w:pPr>
              <w:tabs>
                <w:tab w:val="left" w:pos="284"/>
              </w:tabs>
              <w:spacing w:after="0" w:line="240" w:lineRule="auto"/>
              <w:rPr>
                <w:rFonts w:ascii="Times New Roman" w:eastAsia="Times New Roman" w:hAnsi="Times New Roman"/>
                <w:b/>
                <w:bCs/>
                <w:sz w:val="20"/>
                <w:szCs w:val="20"/>
              </w:rPr>
            </w:pPr>
            <w:r w:rsidRPr="00994011">
              <w:rPr>
                <w:rFonts w:ascii="Times New Roman" w:eastAsia="Times New Roman" w:hAnsi="Times New Roman"/>
                <w:iCs/>
                <w:sz w:val="20"/>
                <w:szCs w:val="20"/>
              </w:rPr>
              <w:lastRenderedPageBreak/>
              <w:t>В</w:t>
            </w:r>
            <w:r w:rsidRPr="00994011">
              <w:rPr>
                <w:sz w:val="20"/>
                <w:szCs w:val="20"/>
              </w:rPr>
              <w:t xml:space="preserve"> </w:t>
            </w:r>
            <w:r w:rsidRPr="00994011">
              <w:rPr>
                <w:rFonts w:ascii="Times New Roman" w:eastAsia="Times New Roman" w:hAnsi="Times New Roman"/>
                <w:iCs/>
                <w:sz w:val="20"/>
                <w:szCs w:val="20"/>
              </w:rPr>
              <w:t>течени</w:t>
            </w:r>
            <w:r w:rsidR="006E1C34" w:rsidRPr="00994011">
              <w:rPr>
                <w:rFonts w:ascii="Times New Roman" w:eastAsia="Times New Roman" w:hAnsi="Times New Roman"/>
                <w:iCs/>
                <w:sz w:val="20"/>
                <w:szCs w:val="20"/>
              </w:rPr>
              <w:t>е</w:t>
            </w:r>
            <w:r w:rsidRPr="00994011">
              <w:rPr>
                <w:rFonts w:ascii="Times New Roman" w:eastAsia="Times New Roman" w:hAnsi="Times New Roman"/>
                <w:iCs/>
                <w:sz w:val="20"/>
                <w:szCs w:val="20"/>
              </w:rPr>
              <w:t xml:space="preserve"> </w:t>
            </w:r>
            <w:r w:rsidR="003E667F">
              <w:rPr>
                <w:rFonts w:ascii="Times New Roman" w:eastAsia="Times New Roman" w:hAnsi="Times New Roman"/>
                <w:iCs/>
                <w:sz w:val="20"/>
                <w:szCs w:val="20"/>
              </w:rPr>
              <w:t>45</w:t>
            </w:r>
            <w:r w:rsidR="00E62585" w:rsidRPr="00E62585">
              <w:rPr>
                <w:rFonts w:ascii="Times New Roman" w:eastAsia="Times New Roman" w:hAnsi="Times New Roman"/>
                <w:iCs/>
                <w:sz w:val="20"/>
                <w:szCs w:val="20"/>
              </w:rPr>
              <w:t xml:space="preserve"> </w:t>
            </w:r>
            <w:r w:rsidR="00300E96" w:rsidRPr="00300E96">
              <w:rPr>
                <w:rFonts w:ascii="Times New Roman" w:eastAsia="Times New Roman" w:hAnsi="Times New Roman"/>
                <w:iCs/>
                <w:sz w:val="20"/>
                <w:szCs w:val="20"/>
              </w:rPr>
              <w:t xml:space="preserve"> </w:t>
            </w:r>
            <w:r w:rsidR="007104AA">
              <w:rPr>
                <w:rFonts w:ascii="Times New Roman" w:eastAsia="Times New Roman" w:hAnsi="Times New Roman"/>
                <w:iCs/>
                <w:sz w:val="20"/>
                <w:szCs w:val="20"/>
              </w:rPr>
              <w:t xml:space="preserve">календарных </w:t>
            </w:r>
            <w:r w:rsidR="006E1C34" w:rsidRPr="00994011">
              <w:rPr>
                <w:rFonts w:ascii="Times New Roman" w:eastAsia="Times New Roman" w:hAnsi="Times New Roman"/>
                <w:iCs/>
                <w:sz w:val="20"/>
                <w:szCs w:val="20"/>
              </w:rPr>
              <w:t xml:space="preserve"> </w:t>
            </w:r>
            <w:r w:rsidRPr="00994011">
              <w:rPr>
                <w:rFonts w:ascii="Times New Roman" w:eastAsia="Times New Roman" w:hAnsi="Times New Roman"/>
                <w:iCs/>
                <w:sz w:val="20"/>
                <w:szCs w:val="20"/>
              </w:rPr>
              <w:t xml:space="preserve">дней, </w:t>
            </w:r>
            <w:r w:rsidR="003E667F">
              <w:rPr>
                <w:rFonts w:ascii="Times New Roman" w:eastAsia="Times New Roman" w:hAnsi="Times New Roman"/>
                <w:iCs/>
                <w:sz w:val="20"/>
                <w:szCs w:val="20"/>
              </w:rPr>
              <w:t>с даты подписания договора обеими сторонами</w:t>
            </w:r>
            <w:r w:rsidRPr="00994011">
              <w:rPr>
                <w:rFonts w:ascii="Times New Roman" w:eastAsia="Times New Roman" w:hAnsi="Times New Roman"/>
                <w:iCs/>
                <w:sz w:val="20"/>
                <w:szCs w:val="20"/>
              </w:rPr>
              <w:t xml:space="preserve">  </w:t>
            </w:r>
          </w:p>
        </w:tc>
      </w:tr>
      <w:tr w:rsidR="000505D3" w:rsidRPr="00994011" w:rsidTr="00300E96">
        <w:trPr>
          <w:trHeight w:val="335"/>
        </w:trPr>
        <w:tc>
          <w:tcPr>
            <w:tcW w:w="10173" w:type="dxa"/>
            <w:gridSpan w:val="3"/>
            <w:shd w:val="clear" w:color="auto" w:fill="auto"/>
            <w:hideMark/>
          </w:tcPr>
          <w:p w:rsidR="000505D3" w:rsidRPr="00994011" w:rsidRDefault="000505D3" w:rsidP="006E1C34">
            <w:pPr>
              <w:spacing w:after="0" w:line="240" w:lineRule="auto"/>
              <w:rPr>
                <w:rFonts w:ascii="Times New Roman" w:eastAsia="Times New Roman" w:hAnsi="Times New Roman"/>
                <w:b/>
                <w:bCs/>
                <w:sz w:val="20"/>
                <w:szCs w:val="20"/>
              </w:rPr>
            </w:pPr>
            <w:r w:rsidRPr="00994011">
              <w:rPr>
                <w:rFonts w:ascii="Times New Roman" w:eastAsia="Times New Roman" w:hAnsi="Times New Roman"/>
                <w:b/>
                <w:bCs/>
                <w:sz w:val="20"/>
                <w:szCs w:val="20"/>
              </w:rPr>
              <w:t>4. Место, условия и сроки.</w:t>
            </w:r>
          </w:p>
        </w:tc>
      </w:tr>
      <w:tr w:rsidR="000505D3" w:rsidRPr="00994011" w:rsidTr="00300E96">
        <w:trPr>
          <w:trHeight w:val="290"/>
        </w:trPr>
        <w:tc>
          <w:tcPr>
            <w:tcW w:w="1790" w:type="dxa"/>
            <w:shd w:val="clear" w:color="auto" w:fill="auto"/>
            <w:hideMark/>
          </w:tcPr>
          <w:p w:rsidR="000505D3" w:rsidRPr="00994011" w:rsidRDefault="000505D3" w:rsidP="006E1C34">
            <w:pPr>
              <w:spacing w:after="0" w:line="240" w:lineRule="auto"/>
              <w:rPr>
                <w:rFonts w:ascii="Times New Roman" w:eastAsia="Times New Roman" w:hAnsi="Times New Roman"/>
                <w:color w:val="000000"/>
                <w:sz w:val="20"/>
                <w:szCs w:val="20"/>
              </w:rPr>
            </w:pPr>
            <w:r w:rsidRPr="00994011">
              <w:rPr>
                <w:rFonts w:ascii="Times New Roman" w:eastAsia="Times New Roman" w:hAnsi="Times New Roman"/>
                <w:sz w:val="20"/>
                <w:szCs w:val="20"/>
              </w:rPr>
              <w:t>Место  поставки товаров.</w:t>
            </w:r>
          </w:p>
        </w:tc>
        <w:tc>
          <w:tcPr>
            <w:tcW w:w="8383" w:type="dxa"/>
            <w:gridSpan w:val="2"/>
            <w:shd w:val="clear" w:color="auto" w:fill="auto"/>
            <w:hideMark/>
          </w:tcPr>
          <w:p w:rsidR="000505D3" w:rsidRPr="00994011" w:rsidRDefault="000505D3" w:rsidP="006E1C34">
            <w:pPr>
              <w:spacing w:after="0" w:line="240" w:lineRule="auto"/>
              <w:rPr>
                <w:rFonts w:ascii="Times New Roman" w:eastAsia="Times New Roman" w:hAnsi="Times New Roman"/>
                <w:iCs/>
                <w:sz w:val="20"/>
                <w:szCs w:val="20"/>
              </w:rPr>
            </w:pPr>
          </w:p>
          <w:p w:rsidR="000505D3" w:rsidRPr="00994011" w:rsidRDefault="00ED6B49" w:rsidP="00EC0C6F">
            <w:pPr>
              <w:jc w:val="both"/>
              <w:rPr>
                <w:rFonts w:ascii="Times New Roman" w:hAnsi="Times New Roman" w:cs="Times New Roman"/>
                <w:sz w:val="20"/>
                <w:szCs w:val="20"/>
              </w:rPr>
            </w:pPr>
            <w:r w:rsidRPr="00994011">
              <w:rPr>
                <w:rFonts w:ascii="Times New Roman" w:eastAsia="Times New Roman" w:hAnsi="Times New Roman"/>
                <w:iCs/>
                <w:sz w:val="20"/>
                <w:szCs w:val="20"/>
              </w:rPr>
              <w:t xml:space="preserve">РБ, г. Уфа, </w:t>
            </w:r>
            <w:r w:rsidR="002723D8">
              <w:rPr>
                <w:rFonts w:ascii="Times New Roman" w:eastAsia="Times New Roman" w:hAnsi="Times New Roman"/>
                <w:iCs/>
                <w:sz w:val="20"/>
                <w:szCs w:val="20"/>
              </w:rPr>
              <w:t>Проспект Октября,71/1.</w:t>
            </w:r>
            <w:r w:rsidRPr="00994011">
              <w:rPr>
                <w:rFonts w:ascii="Times New Roman" w:eastAsia="Times New Roman" w:hAnsi="Times New Roman"/>
                <w:iCs/>
                <w:sz w:val="20"/>
                <w:szCs w:val="20"/>
              </w:rPr>
              <w:t xml:space="preserve"> </w:t>
            </w:r>
          </w:p>
        </w:tc>
      </w:tr>
      <w:tr w:rsidR="000505D3" w:rsidRPr="00994011" w:rsidTr="00300E96">
        <w:trPr>
          <w:trHeight w:val="421"/>
        </w:trPr>
        <w:tc>
          <w:tcPr>
            <w:tcW w:w="10173" w:type="dxa"/>
            <w:gridSpan w:val="3"/>
            <w:shd w:val="clear" w:color="auto" w:fill="auto"/>
            <w:hideMark/>
          </w:tcPr>
          <w:p w:rsidR="000505D3" w:rsidRPr="00994011" w:rsidRDefault="000505D3" w:rsidP="006E1C34">
            <w:pPr>
              <w:spacing w:after="0" w:line="240" w:lineRule="auto"/>
              <w:rPr>
                <w:rFonts w:ascii="Times New Roman" w:eastAsia="Times New Roman" w:hAnsi="Times New Roman"/>
                <w:b/>
                <w:bCs/>
                <w:sz w:val="20"/>
                <w:szCs w:val="20"/>
              </w:rPr>
            </w:pPr>
            <w:r w:rsidRPr="00994011">
              <w:rPr>
                <w:rFonts w:ascii="Times New Roman" w:eastAsia="Times New Roman" w:hAnsi="Times New Roman"/>
                <w:b/>
                <w:bCs/>
                <w:sz w:val="20"/>
                <w:szCs w:val="20"/>
              </w:rPr>
              <w:t>5. Форма, сроки и порядок оплаты</w:t>
            </w:r>
          </w:p>
        </w:tc>
      </w:tr>
      <w:tr w:rsidR="000505D3" w:rsidRPr="00994011" w:rsidTr="00300E96">
        <w:trPr>
          <w:trHeight w:val="555"/>
        </w:trPr>
        <w:tc>
          <w:tcPr>
            <w:tcW w:w="10173" w:type="dxa"/>
            <w:gridSpan w:val="3"/>
            <w:shd w:val="clear" w:color="auto" w:fill="auto"/>
            <w:hideMark/>
          </w:tcPr>
          <w:p w:rsidR="000505D3" w:rsidRPr="00994011" w:rsidRDefault="000505D3" w:rsidP="000505D3">
            <w:pPr>
              <w:jc w:val="both"/>
              <w:rPr>
                <w:rFonts w:ascii="Times New Roman" w:eastAsia="Times New Roman" w:hAnsi="Times New Roman"/>
                <w:sz w:val="20"/>
                <w:szCs w:val="20"/>
              </w:rPr>
            </w:pPr>
            <w:r w:rsidRPr="00994011">
              <w:rPr>
                <w:rFonts w:ascii="Times New Roman" w:eastAsia="Times New Roman" w:hAnsi="Times New Roman"/>
                <w:sz w:val="20"/>
                <w:szCs w:val="20"/>
              </w:rPr>
              <w:t>Оплата Товара Покупателем производится на основании счета, выставленного Поставщиком, путем перечисления денежных средств на расчетный счет Поставщика в течение 60 календарных дней</w:t>
            </w:r>
            <w:r w:rsidRPr="00994011">
              <w:rPr>
                <w:sz w:val="20"/>
                <w:szCs w:val="20"/>
              </w:rPr>
              <w:t xml:space="preserve"> </w:t>
            </w:r>
            <w:r w:rsidRPr="00994011">
              <w:rPr>
                <w:rFonts w:ascii="Times New Roman" w:eastAsia="Times New Roman" w:hAnsi="Times New Roman"/>
                <w:sz w:val="20"/>
                <w:szCs w:val="20"/>
              </w:rPr>
              <w:t>после принятия Товара Покупателем и подписания Сторонами товарной накладной формы ТОРГ-12.</w:t>
            </w:r>
          </w:p>
        </w:tc>
      </w:tr>
    </w:tbl>
    <w:p w:rsidR="007104AA" w:rsidRPr="00CA489A" w:rsidRDefault="007104AA" w:rsidP="007104AA">
      <w:pPr>
        <w:ind w:left="568"/>
        <w:jc w:val="both"/>
        <w:rPr>
          <w:rFonts w:ascii="Times New Roman" w:hAnsi="Times New Roman" w:cs="Times New Roman"/>
          <w:sz w:val="20"/>
          <w:szCs w:val="20"/>
        </w:rPr>
      </w:pPr>
      <w:r w:rsidRPr="00CA489A">
        <w:rPr>
          <w:rFonts w:ascii="Times New Roman" w:hAnsi="Times New Roman" w:cs="Times New Roman"/>
          <w:sz w:val="20"/>
          <w:szCs w:val="20"/>
        </w:rPr>
        <w:t xml:space="preserve">Требования к Поставщику: </w:t>
      </w:r>
    </w:p>
    <w:p w:rsidR="007104AA" w:rsidRPr="00CA489A" w:rsidRDefault="007104AA" w:rsidP="007104AA">
      <w:pPr>
        <w:pStyle w:val="ac"/>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CA489A">
          <w:rPr>
            <w:rStyle w:val="ab"/>
            <w:rFonts w:ascii="Times New Roman" w:hAnsi="Times New Roman" w:cs="Times New Roman"/>
            <w:sz w:val="20"/>
            <w:szCs w:val="20"/>
          </w:rPr>
          <w:t>статьями 289</w:t>
        </w:r>
      </w:hyperlink>
      <w:r w:rsidRPr="00CA489A">
        <w:rPr>
          <w:rFonts w:ascii="Times New Roman" w:hAnsi="Times New Roman" w:cs="Times New Roman"/>
          <w:sz w:val="20"/>
          <w:szCs w:val="20"/>
        </w:rPr>
        <w:t>, </w:t>
      </w:r>
      <w:hyperlink r:id="rId11" w:anchor="dst2054" w:history="1">
        <w:r w:rsidRPr="00CA489A">
          <w:rPr>
            <w:rStyle w:val="ab"/>
            <w:rFonts w:ascii="Times New Roman" w:hAnsi="Times New Roman" w:cs="Times New Roman"/>
            <w:sz w:val="20"/>
            <w:szCs w:val="20"/>
          </w:rPr>
          <w:t>290</w:t>
        </w:r>
      </w:hyperlink>
      <w:r w:rsidRPr="00CA489A">
        <w:rPr>
          <w:rFonts w:ascii="Times New Roman" w:hAnsi="Times New Roman" w:cs="Times New Roman"/>
          <w:sz w:val="20"/>
          <w:szCs w:val="20"/>
        </w:rPr>
        <w:t>, </w:t>
      </w:r>
      <w:hyperlink r:id="rId12" w:anchor="dst2072" w:history="1">
        <w:r w:rsidRPr="00CA489A">
          <w:rPr>
            <w:rStyle w:val="ab"/>
            <w:rFonts w:ascii="Times New Roman" w:hAnsi="Times New Roman" w:cs="Times New Roman"/>
            <w:sz w:val="20"/>
            <w:szCs w:val="20"/>
          </w:rPr>
          <w:t>291</w:t>
        </w:r>
      </w:hyperlink>
      <w:r w:rsidRPr="00CA489A">
        <w:rPr>
          <w:rFonts w:ascii="Times New Roman" w:hAnsi="Times New Roman" w:cs="Times New Roman"/>
          <w:sz w:val="20"/>
          <w:szCs w:val="20"/>
        </w:rPr>
        <w:t>, </w:t>
      </w:r>
      <w:hyperlink r:id="rId13" w:anchor="dst2086" w:history="1">
        <w:r w:rsidRPr="00CA489A">
          <w:rPr>
            <w:rStyle w:val="ab"/>
            <w:rFonts w:ascii="Times New Roman" w:hAnsi="Times New Roman" w:cs="Times New Roman"/>
            <w:sz w:val="20"/>
            <w:szCs w:val="20"/>
          </w:rPr>
          <w:t>291.1</w:t>
        </w:r>
      </w:hyperlink>
      <w:r w:rsidRPr="00CA489A">
        <w:rPr>
          <w:rFonts w:ascii="Times New Roman" w:hAnsi="Times New Roman" w:cs="Times New Roman"/>
          <w:sz w:val="20"/>
          <w:szCs w:val="2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4AA" w:rsidRPr="00CA489A" w:rsidRDefault="007104AA" w:rsidP="007104AA">
      <w:pPr>
        <w:pStyle w:val="ac"/>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anchor="dst2620" w:history="1">
        <w:r w:rsidRPr="00CA489A">
          <w:rPr>
            <w:rStyle w:val="ab"/>
            <w:rFonts w:ascii="Times New Roman" w:hAnsi="Times New Roman" w:cs="Times New Roman"/>
            <w:sz w:val="20"/>
            <w:szCs w:val="20"/>
          </w:rPr>
          <w:t>статьей 19.28</w:t>
        </w:r>
      </w:hyperlink>
      <w:r w:rsidRPr="00CA489A">
        <w:rPr>
          <w:rFonts w:ascii="Times New Roman" w:hAnsi="Times New Roman" w:cs="Times New Roman"/>
          <w:sz w:val="20"/>
          <w:szCs w:val="20"/>
        </w:rPr>
        <w:t> Кодекса Российской Федерации об административных правонарушениях;</w:t>
      </w:r>
    </w:p>
    <w:p w:rsidR="007104AA" w:rsidRPr="00CA489A" w:rsidRDefault="007104AA" w:rsidP="007104AA">
      <w:pPr>
        <w:pStyle w:val="ac"/>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104AA" w:rsidRPr="00CA489A" w:rsidRDefault="007104AA" w:rsidP="007104AA">
      <w:pPr>
        <w:pStyle w:val="ac"/>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 участник закупки не является иностранным агентом;</w:t>
      </w:r>
    </w:p>
    <w:p w:rsidR="007104AA" w:rsidRPr="00CA489A" w:rsidRDefault="007104AA" w:rsidP="007104AA">
      <w:pPr>
        <w:pStyle w:val="ac"/>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7104AA" w:rsidRPr="00CA489A" w:rsidRDefault="007104AA" w:rsidP="007104AA">
      <w:pPr>
        <w:pStyle w:val="ac"/>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4AA" w:rsidRPr="00CA489A" w:rsidRDefault="007104AA" w:rsidP="007104AA">
      <w:pPr>
        <w:pStyle w:val="ac"/>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 xml:space="preserve">- отсутствии сведений об участниках закупки в реестре недобросовестных поставщиков, предусмотренном </w:t>
      </w:r>
      <w:hyperlink r:id="rId15" w:history="1">
        <w:r w:rsidRPr="00CA489A">
          <w:rPr>
            <w:rStyle w:val="ab"/>
            <w:rFonts w:ascii="Times New Roman" w:hAnsi="Times New Roman" w:cs="Times New Roman"/>
            <w:sz w:val="20"/>
            <w:szCs w:val="20"/>
          </w:rPr>
          <w:t>статьей 5</w:t>
        </w:r>
      </w:hyperlink>
      <w:r w:rsidRPr="00CA489A">
        <w:rPr>
          <w:rFonts w:ascii="Times New Roman" w:hAnsi="Times New Roman" w:cs="Times New Roman"/>
          <w:sz w:val="20"/>
          <w:szCs w:val="20"/>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w:t>
      </w:r>
      <w:r>
        <w:rPr>
          <w:rFonts w:ascii="Times New Roman" w:hAnsi="Times New Roman" w:cs="Times New Roman"/>
          <w:sz w:val="20"/>
          <w:szCs w:val="20"/>
        </w:rPr>
        <w:t>рственных и муниципальных нужд».</w:t>
      </w:r>
    </w:p>
    <w:p w:rsidR="00D9493C" w:rsidRPr="00D9493C" w:rsidRDefault="00D9493C" w:rsidP="00745677">
      <w:pPr>
        <w:jc w:val="center"/>
        <w:rPr>
          <w:rFonts w:ascii="Times New Roman" w:hAnsi="Times New Roman" w:cs="Times New Roman"/>
        </w:rPr>
      </w:pPr>
    </w:p>
    <w:sectPr w:rsidR="00D9493C" w:rsidRPr="00D9493C" w:rsidSect="00745677">
      <w:pgSz w:w="11907" w:h="16839"/>
      <w:pgMar w:top="567" w:right="567" w:bottom="567" w:left="85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054" w:rsidRDefault="001A4054" w:rsidP="00352D2B">
      <w:pPr>
        <w:spacing w:after="0" w:line="240" w:lineRule="auto"/>
      </w:pPr>
      <w:r>
        <w:separator/>
      </w:r>
    </w:p>
  </w:endnote>
  <w:endnote w:type="continuationSeparator" w:id="1">
    <w:p w:rsidR="001A4054" w:rsidRDefault="001A4054" w:rsidP="00352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054" w:rsidRDefault="001A4054" w:rsidP="00352D2B">
      <w:pPr>
        <w:spacing w:after="0" w:line="240" w:lineRule="auto"/>
      </w:pPr>
      <w:r>
        <w:separator/>
      </w:r>
    </w:p>
  </w:footnote>
  <w:footnote w:type="continuationSeparator" w:id="1">
    <w:p w:rsidR="001A4054" w:rsidRDefault="001A4054" w:rsidP="00352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FFF"/>
    <w:multiLevelType w:val="hybridMultilevel"/>
    <w:tmpl w:val="E6640E6E"/>
    <w:lvl w:ilvl="0" w:tplc="18109202">
      <w:start w:val="1"/>
      <w:numFmt w:val="bullet"/>
      <w:lvlText w:val=""/>
      <w:lvlJc w:val="left"/>
      <w:pPr>
        <w:ind w:left="360" w:hanging="360"/>
      </w:pPr>
      <w:rPr>
        <w:rFonts w:ascii="Symbol" w:hAnsi="Symbol" w:hint="default"/>
        <w:b w:val="0"/>
      </w:rPr>
    </w:lvl>
    <w:lvl w:ilvl="1" w:tplc="4E58E126">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A422CE"/>
    <w:multiLevelType w:val="multilevel"/>
    <w:tmpl w:val="C2B63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207256"/>
    <w:multiLevelType w:val="hybridMultilevel"/>
    <w:tmpl w:val="FA82FAAA"/>
    <w:lvl w:ilvl="0" w:tplc="D86C4BA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2B0CAC"/>
    <w:multiLevelType w:val="hybridMultilevel"/>
    <w:tmpl w:val="9468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76072C"/>
    <w:multiLevelType w:val="hybridMultilevel"/>
    <w:tmpl w:val="E7CE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E73F76"/>
    <w:multiLevelType w:val="hybridMultilevel"/>
    <w:tmpl w:val="B2448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152A6F"/>
    <w:multiLevelType w:val="multilevel"/>
    <w:tmpl w:val="4A9C931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310A"/>
    <w:rsid w:val="000078A5"/>
    <w:rsid w:val="000244CC"/>
    <w:rsid w:val="00033225"/>
    <w:rsid w:val="0003389C"/>
    <w:rsid w:val="000505D3"/>
    <w:rsid w:val="000775E5"/>
    <w:rsid w:val="00093762"/>
    <w:rsid w:val="000A27DA"/>
    <w:rsid w:val="000A5072"/>
    <w:rsid w:val="000B6700"/>
    <w:rsid w:val="001178A6"/>
    <w:rsid w:val="001362B7"/>
    <w:rsid w:val="00156961"/>
    <w:rsid w:val="001A4054"/>
    <w:rsid w:val="001B29C7"/>
    <w:rsid w:val="001F7994"/>
    <w:rsid w:val="00254736"/>
    <w:rsid w:val="002723D8"/>
    <w:rsid w:val="00300E96"/>
    <w:rsid w:val="00352D2B"/>
    <w:rsid w:val="00371BAA"/>
    <w:rsid w:val="00382EC8"/>
    <w:rsid w:val="003E667F"/>
    <w:rsid w:val="003F3662"/>
    <w:rsid w:val="004452C1"/>
    <w:rsid w:val="004477FF"/>
    <w:rsid w:val="0047280C"/>
    <w:rsid w:val="004845A0"/>
    <w:rsid w:val="004A2876"/>
    <w:rsid w:val="004D50DC"/>
    <w:rsid w:val="004E236B"/>
    <w:rsid w:val="004E587A"/>
    <w:rsid w:val="0051516B"/>
    <w:rsid w:val="005213BE"/>
    <w:rsid w:val="005411E7"/>
    <w:rsid w:val="00564E30"/>
    <w:rsid w:val="00576357"/>
    <w:rsid w:val="005B7678"/>
    <w:rsid w:val="005E4753"/>
    <w:rsid w:val="00611AAF"/>
    <w:rsid w:val="00651EE3"/>
    <w:rsid w:val="00665357"/>
    <w:rsid w:val="006906DF"/>
    <w:rsid w:val="00694897"/>
    <w:rsid w:val="006C1B9E"/>
    <w:rsid w:val="006E1C34"/>
    <w:rsid w:val="007104AA"/>
    <w:rsid w:val="00712DA5"/>
    <w:rsid w:val="0071655B"/>
    <w:rsid w:val="0073620F"/>
    <w:rsid w:val="00745677"/>
    <w:rsid w:val="00765B69"/>
    <w:rsid w:val="007D1CF7"/>
    <w:rsid w:val="007F310A"/>
    <w:rsid w:val="007F6892"/>
    <w:rsid w:val="0082304B"/>
    <w:rsid w:val="00861990"/>
    <w:rsid w:val="00881368"/>
    <w:rsid w:val="00881940"/>
    <w:rsid w:val="008954C4"/>
    <w:rsid w:val="009416AF"/>
    <w:rsid w:val="009576E7"/>
    <w:rsid w:val="009662D6"/>
    <w:rsid w:val="009931C2"/>
    <w:rsid w:val="00994011"/>
    <w:rsid w:val="009970C1"/>
    <w:rsid w:val="009A56DE"/>
    <w:rsid w:val="009F5A9E"/>
    <w:rsid w:val="00A0371F"/>
    <w:rsid w:val="00A1312D"/>
    <w:rsid w:val="00A35F26"/>
    <w:rsid w:val="00A52FD0"/>
    <w:rsid w:val="00A633A1"/>
    <w:rsid w:val="00A711F3"/>
    <w:rsid w:val="00AA477E"/>
    <w:rsid w:val="00AB5BE7"/>
    <w:rsid w:val="00B04E3B"/>
    <w:rsid w:val="00B23CBE"/>
    <w:rsid w:val="00B3455E"/>
    <w:rsid w:val="00B43A6E"/>
    <w:rsid w:val="00B830ED"/>
    <w:rsid w:val="00BA1EB0"/>
    <w:rsid w:val="00BA331D"/>
    <w:rsid w:val="00BE52E9"/>
    <w:rsid w:val="00BF7514"/>
    <w:rsid w:val="00C15C9A"/>
    <w:rsid w:val="00C419B4"/>
    <w:rsid w:val="00CD3AF8"/>
    <w:rsid w:val="00D82EB8"/>
    <w:rsid w:val="00D9493C"/>
    <w:rsid w:val="00DB70C7"/>
    <w:rsid w:val="00DC0073"/>
    <w:rsid w:val="00DC102D"/>
    <w:rsid w:val="00DF70EB"/>
    <w:rsid w:val="00E01D17"/>
    <w:rsid w:val="00E62585"/>
    <w:rsid w:val="00E63B58"/>
    <w:rsid w:val="00E91BD9"/>
    <w:rsid w:val="00EC0C6F"/>
    <w:rsid w:val="00ED6B49"/>
    <w:rsid w:val="00F345CE"/>
    <w:rsid w:val="00F34E99"/>
    <w:rsid w:val="00F42BB7"/>
    <w:rsid w:val="00F77CE3"/>
    <w:rsid w:val="00F910C0"/>
    <w:rsid w:val="00FD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
    <w:link w:val="a4"/>
    <w:uiPriority w:val="34"/>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3"/>
    <w:uiPriority w:val="34"/>
    <w:qFormat/>
    <w:rsid w:val="005B7678"/>
    <w:rPr>
      <w:rFonts w:ascii="Times New Roman" w:eastAsia="Times New Roman" w:hAnsi="Times New Roman" w:cs="Times New Roman"/>
      <w:sz w:val="24"/>
      <w:szCs w:val="24"/>
    </w:rPr>
  </w:style>
  <w:style w:type="paragraph" w:styleId="a5">
    <w:name w:val="No Spacing"/>
    <w:aliases w:val="Жирный"/>
    <w:basedOn w:val="a"/>
    <w:link w:val="a6"/>
    <w:uiPriority w:val="1"/>
    <w:qFormat/>
    <w:rsid w:val="00B43A6E"/>
    <w:pPr>
      <w:spacing w:after="0" w:line="240" w:lineRule="auto"/>
    </w:pPr>
    <w:rPr>
      <w:rFonts w:ascii="Calibri" w:eastAsia="Times New Roman" w:hAnsi="Calibri" w:cs="Calibri"/>
      <w:lang w:val="en-US" w:eastAsia="en-US"/>
    </w:rPr>
  </w:style>
  <w:style w:type="character" w:customStyle="1" w:styleId="a6">
    <w:name w:val="Без интервала Знак"/>
    <w:aliases w:val="Жирный Знак"/>
    <w:basedOn w:val="a0"/>
    <w:link w:val="a5"/>
    <w:locked/>
    <w:rsid w:val="00B43A6E"/>
    <w:rPr>
      <w:rFonts w:ascii="Calibri" w:eastAsia="Times New Roman" w:hAnsi="Calibri" w:cs="Calibri"/>
      <w:lang w:val="en-US" w:eastAsia="en-US"/>
    </w:rPr>
  </w:style>
  <w:style w:type="character" w:styleId="a7">
    <w:name w:val="Placeholder Text"/>
    <w:basedOn w:val="a0"/>
    <w:uiPriority w:val="99"/>
    <w:semiHidden/>
    <w:rsid w:val="00B43A6E"/>
    <w:rPr>
      <w:color w:val="808080"/>
    </w:rPr>
  </w:style>
  <w:style w:type="paragraph" w:styleId="a8">
    <w:name w:val="Balloon Text"/>
    <w:basedOn w:val="a"/>
    <w:link w:val="a9"/>
    <w:uiPriority w:val="99"/>
    <w:semiHidden/>
    <w:unhideWhenUsed/>
    <w:rsid w:val="00B43A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3A6E"/>
    <w:rPr>
      <w:rFonts w:ascii="Tahoma" w:hAnsi="Tahoma" w:cs="Tahoma"/>
      <w:sz w:val="16"/>
      <w:szCs w:val="16"/>
    </w:rPr>
  </w:style>
  <w:style w:type="paragraph" w:styleId="2">
    <w:name w:val="List 2"/>
    <w:basedOn w:val="a"/>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0">
    <w:name w:val="Body Text 2"/>
    <w:basedOn w:val="a"/>
    <w:link w:val="21"/>
    <w:rsid w:val="00D9493C"/>
    <w:pPr>
      <w:spacing w:after="0" w:line="240" w:lineRule="auto"/>
      <w:jc w:val="center"/>
    </w:pPr>
    <w:rPr>
      <w:rFonts w:ascii="Times New Roman" w:eastAsia="Times New Roman" w:hAnsi="Times New Roman" w:cs="Times New Roman"/>
      <w:b/>
      <w:sz w:val="28"/>
      <w:szCs w:val="20"/>
    </w:rPr>
  </w:style>
  <w:style w:type="character" w:customStyle="1" w:styleId="21">
    <w:name w:val="Основной текст 2 Знак"/>
    <w:basedOn w:val="a0"/>
    <w:link w:val="20"/>
    <w:rsid w:val="00D9493C"/>
    <w:rPr>
      <w:rFonts w:ascii="Times New Roman" w:eastAsia="Times New Roman" w:hAnsi="Times New Roman" w:cs="Times New Roman"/>
      <w:b/>
      <w:sz w:val="28"/>
      <w:szCs w:val="20"/>
    </w:rPr>
  </w:style>
  <w:style w:type="table" w:styleId="aa">
    <w:name w:val="Table Grid"/>
    <w:basedOn w:val="a1"/>
    <w:uiPriority w:val="39"/>
    <w:rsid w:val="00DB70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3F3662"/>
    <w:rPr>
      <w:color w:val="0000FF"/>
      <w:u w:val="single"/>
    </w:rPr>
  </w:style>
  <w:style w:type="character" w:customStyle="1" w:styleId="NoSpacingChar">
    <w:name w:val="No Spacing Char"/>
    <w:link w:val="1"/>
    <w:locked/>
    <w:rsid w:val="00B04E3B"/>
    <w:rPr>
      <w:lang w:eastAsia="en-US"/>
    </w:rPr>
  </w:style>
  <w:style w:type="paragraph" w:customStyle="1" w:styleId="1">
    <w:name w:val="Без интервала1"/>
    <w:link w:val="NoSpacingChar"/>
    <w:qFormat/>
    <w:rsid w:val="00B04E3B"/>
    <w:pPr>
      <w:spacing w:after="0" w:line="240" w:lineRule="auto"/>
      <w:ind w:firstLine="357"/>
      <w:jc w:val="both"/>
    </w:pPr>
    <w:rPr>
      <w:lang w:eastAsia="en-US"/>
    </w:rPr>
  </w:style>
  <w:style w:type="paragraph" w:customStyle="1" w:styleId="Normal">
    <w:name w:val="Normal Знак Знак"/>
    <w:rsid w:val="00A0371F"/>
    <w:pPr>
      <w:suppressAutoHyphens/>
      <w:spacing w:after="0" w:line="240" w:lineRule="auto"/>
    </w:pPr>
    <w:rPr>
      <w:rFonts w:ascii="Times New Roman" w:eastAsia="Times New Roman" w:hAnsi="Times New Roman" w:cs="Times New Roman"/>
      <w:sz w:val="20"/>
      <w:szCs w:val="20"/>
      <w:lang w:eastAsia="zh-CN"/>
    </w:rPr>
  </w:style>
  <w:style w:type="paragraph" w:styleId="ac">
    <w:name w:val="Body Text"/>
    <w:basedOn w:val="a"/>
    <w:link w:val="ad"/>
    <w:uiPriority w:val="99"/>
    <w:semiHidden/>
    <w:unhideWhenUsed/>
    <w:rsid w:val="007104AA"/>
    <w:pPr>
      <w:spacing w:after="120"/>
    </w:pPr>
  </w:style>
  <w:style w:type="character" w:customStyle="1" w:styleId="ad">
    <w:name w:val="Основной текст Знак"/>
    <w:basedOn w:val="a0"/>
    <w:link w:val="ac"/>
    <w:uiPriority w:val="99"/>
    <w:semiHidden/>
    <w:rsid w:val="007104AA"/>
  </w:style>
</w:styles>
</file>

<file path=word/webSettings.xml><?xml version="1.0" encoding="utf-8"?>
<w:webSettings xmlns:r="http://schemas.openxmlformats.org/officeDocument/2006/relationships" xmlns:w="http://schemas.openxmlformats.org/wordprocessingml/2006/main">
  <w:divs>
    <w:div w:id="842209307">
      <w:bodyDiv w:val="1"/>
      <w:marLeft w:val="0"/>
      <w:marRight w:val="0"/>
      <w:marTop w:val="0"/>
      <w:marBottom w:val="0"/>
      <w:divBdr>
        <w:top w:val="none" w:sz="0" w:space="0" w:color="auto"/>
        <w:left w:val="none" w:sz="0" w:space="0" w:color="auto"/>
        <w:bottom w:val="none" w:sz="0" w:space="0" w:color="auto"/>
        <w:right w:val="none" w:sz="0" w:space="0" w:color="auto"/>
      </w:divBdr>
    </w:div>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4861/a74ca4364cb5aa0d95db2b7636907af350ab52c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ltant.ru/document/cons_doc_LAW_444861/0108932a3c6234f73590b25799588ada492deb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4861/6411e005f539b666d6f360f202cb7b1c23fe27c3/" TargetMode="External"/><Relationship Id="rId5" Type="http://schemas.openxmlformats.org/officeDocument/2006/relationships/settings" Target="settings.xml"/><Relationship Id="rId15" Type="http://schemas.openxmlformats.org/officeDocument/2006/relationships/hyperlink" Target="consultantplus://offline/ref=3EEF83BA23A828AD0CA95920CBEA6FD2C45C7B930773296B8D4AB2E76479E8CBD7047B75745751B7l811Q" TargetMode="External"/><Relationship Id="rId10" Type="http://schemas.openxmlformats.org/officeDocument/2006/relationships/hyperlink" Target="https://www.consultant.ru/document/cons_doc_LAW_444861/7cb5d9b7f75fd72853e0610988cc9f6fdd08802e/" TargetMode="External"/><Relationship Id="rId4" Type="http://schemas.openxmlformats.org/officeDocument/2006/relationships/styles" Target="styles.xml"/><Relationship Id="rId9" Type="http://schemas.openxmlformats.org/officeDocument/2006/relationships/hyperlink" Target="https://ufa.rzd-medicine.ru" TargetMode="External"/><Relationship Id="rId14" Type="http://schemas.openxmlformats.org/officeDocument/2006/relationships/hyperlink" Target="https://www.consultant.ru/document/cons_doc_LAW_460025/f61ff313afecf81a91a43d729c2df55c1d6a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www.rzdmedufa.ru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D8CBD-0429-4DEE-9A08-A0BEB177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r.fayzullin</cp:lastModifiedBy>
  <cp:revision>27</cp:revision>
  <cp:lastPrinted>2022-01-17T05:33:00Z</cp:lastPrinted>
  <dcterms:created xsi:type="dcterms:W3CDTF">2022-02-08T06:19:00Z</dcterms:created>
  <dcterms:modified xsi:type="dcterms:W3CDTF">2024-04-05T11:19:00Z</dcterms:modified>
</cp:coreProperties>
</file>