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BA3" w:rsidRPr="00B029CB" w:rsidRDefault="00032BA3" w:rsidP="00B029CB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B029CB">
        <w:rPr>
          <w:rFonts w:ascii="Times New Roman" w:eastAsiaTheme="minorHAnsi" w:hAnsi="Times New Roman" w:cs="Times New Roman"/>
          <w:b/>
          <w:sz w:val="24"/>
          <w:szCs w:val="24"/>
        </w:rPr>
        <w:t>Техническое задание к закупке №</w:t>
      </w:r>
      <w:r w:rsidR="00467AB3" w:rsidRPr="00B029CB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8F31D5" w:rsidRPr="00B029CB">
        <w:rPr>
          <w:rFonts w:ascii="Times New Roman" w:eastAsiaTheme="minorHAnsi" w:hAnsi="Times New Roman" w:cs="Times New Roman"/>
          <w:b/>
          <w:sz w:val="24"/>
          <w:szCs w:val="24"/>
        </w:rPr>
        <w:t>240602090</w:t>
      </w:r>
      <w:r w:rsidR="00F64B3A" w:rsidRPr="00B029CB">
        <w:rPr>
          <w:rFonts w:ascii="Times New Roman" w:eastAsiaTheme="minorHAnsi" w:hAnsi="Times New Roman" w:cs="Times New Roman"/>
          <w:b/>
          <w:sz w:val="24"/>
          <w:szCs w:val="24"/>
        </w:rPr>
        <w:t>2</w:t>
      </w:r>
      <w:r w:rsidR="0097246B" w:rsidRPr="00B029CB">
        <w:rPr>
          <w:rFonts w:ascii="Times New Roman" w:eastAsiaTheme="minorHAnsi" w:hAnsi="Times New Roman" w:cs="Times New Roman"/>
          <w:b/>
          <w:sz w:val="24"/>
          <w:szCs w:val="24"/>
        </w:rPr>
        <w:t>3</w:t>
      </w:r>
    </w:p>
    <w:p w:rsidR="00052101" w:rsidRPr="00B029CB" w:rsidRDefault="00625DA5" w:rsidP="00B029C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B029CB">
        <w:rPr>
          <w:rFonts w:ascii="Times New Roman" w:eastAsiaTheme="minorHAnsi" w:hAnsi="Times New Roman" w:cs="Times New Roman"/>
          <w:b/>
          <w:sz w:val="24"/>
          <w:szCs w:val="24"/>
        </w:rPr>
        <w:t xml:space="preserve">на </w:t>
      </w:r>
      <w:r w:rsidR="0097246B" w:rsidRPr="00B029CB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052101" w:rsidRPr="00B029CB">
        <w:rPr>
          <w:rFonts w:ascii="Times New Roman" w:eastAsiaTheme="minorHAnsi" w:hAnsi="Times New Roman" w:cs="Times New Roman"/>
          <w:b/>
          <w:sz w:val="24"/>
          <w:szCs w:val="24"/>
        </w:rPr>
        <w:t>оказание услуг по предоставлению права использования программы для ЭВМ,</w:t>
      </w:r>
    </w:p>
    <w:p w:rsidR="00B029CB" w:rsidRPr="00B029CB" w:rsidRDefault="00052101" w:rsidP="00B029C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B029CB">
        <w:rPr>
          <w:rFonts w:ascii="Times New Roman" w:eastAsiaTheme="minorHAnsi" w:hAnsi="Times New Roman" w:cs="Times New Roman"/>
          <w:b/>
          <w:sz w:val="24"/>
          <w:szCs w:val="24"/>
        </w:rPr>
        <w:t>предназначенной для взаимодействия Заказчика с Удостоверяющим центром</w:t>
      </w:r>
      <w:r w:rsidRPr="00B029CB">
        <w:rPr>
          <w:rFonts w:ascii="Times New Roman" w:eastAsiaTheme="minorHAnsi" w:hAnsi="Times New Roman" w:cs="Times New Roman"/>
          <w:b/>
          <w:sz w:val="24"/>
          <w:szCs w:val="24"/>
        </w:rPr>
        <w:t xml:space="preserve">     </w:t>
      </w:r>
    </w:p>
    <w:p w:rsidR="00625DA5" w:rsidRPr="00B029CB" w:rsidRDefault="00625DA5" w:rsidP="00B029C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B029CB">
        <w:rPr>
          <w:rFonts w:ascii="Times New Roman" w:eastAsiaTheme="minorHAnsi" w:hAnsi="Times New Roman" w:cs="Times New Roman"/>
          <w:b/>
          <w:sz w:val="24"/>
          <w:szCs w:val="24"/>
        </w:rPr>
        <w:t>для нужд ЧУЗ «Клиническая больница «РЖД-Медицина» г. Оренбург»</w:t>
      </w:r>
    </w:p>
    <w:p w:rsidR="00032BA3" w:rsidRPr="00B029CB" w:rsidRDefault="00032BA3" w:rsidP="00032BA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7066"/>
        <w:gridCol w:w="1418"/>
        <w:gridCol w:w="1701"/>
      </w:tblGrid>
      <w:tr w:rsidR="003B4E4B" w:rsidRPr="00B029CB" w:rsidTr="0097246B">
        <w:trPr>
          <w:trHeight w:val="28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4B" w:rsidRPr="00B029CB" w:rsidRDefault="003B4E4B" w:rsidP="00C2596F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3B4E4B" w:rsidRPr="00B029CB" w:rsidRDefault="003B4E4B" w:rsidP="00C2596F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9C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п/п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4B" w:rsidRPr="00B029CB" w:rsidRDefault="003B4E4B" w:rsidP="00C2596F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029C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4B" w:rsidRPr="00B029CB" w:rsidRDefault="003B4E4B" w:rsidP="00C2596F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9CB"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Единица </w:t>
            </w:r>
            <w:r w:rsidRPr="00B029CB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4B" w:rsidRPr="00B029CB" w:rsidRDefault="003B4E4B" w:rsidP="00C2596F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9CB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Кол-во</w:t>
            </w:r>
          </w:p>
        </w:tc>
      </w:tr>
      <w:tr w:rsidR="0097246B" w:rsidRPr="00B029CB" w:rsidTr="0097246B">
        <w:trPr>
          <w:trHeight w:val="64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6B" w:rsidRPr="00B029CB" w:rsidRDefault="0097246B" w:rsidP="009724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6B" w:rsidRPr="00B029CB" w:rsidRDefault="0097246B" w:rsidP="009724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услуг по сопровождению деятельности администратора КЦР с выдачей сертификата</w:t>
            </w:r>
            <w:r w:rsidRPr="00B02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администратора КЦР по тарифному плану «Корпоративный»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6B" w:rsidRPr="00B029CB" w:rsidRDefault="0097246B" w:rsidP="009724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9C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6B" w:rsidRPr="00B029CB" w:rsidRDefault="0097246B" w:rsidP="009724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246B" w:rsidRPr="00B029CB" w:rsidTr="000B5011">
        <w:trPr>
          <w:trHeight w:val="64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6B" w:rsidRPr="00B029CB" w:rsidRDefault="0097246B" w:rsidP="009724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9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6B" w:rsidRPr="00B029CB" w:rsidRDefault="0097246B" w:rsidP="009724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Лицензия на право использования СКЗИ "КриптоПро CSP" в составе сертификата ключа администратора</w:t>
            </w:r>
            <w:r w:rsidRPr="00B02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КЦР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6B" w:rsidRPr="00B029CB" w:rsidRDefault="0097246B" w:rsidP="009724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9C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6B" w:rsidRPr="00B029CB" w:rsidRDefault="0097246B" w:rsidP="009724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246B" w:rsidRPr="00B029CB" w:rsidTr="000B5011">
        <w:trPr>
          <w:trHeight w:val="64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6B" w:rsidRPr="00B029CB" w:rsidRDefault="0097246B" w:rsidP="009724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9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6B" w:rsidRPr="00B029CB" w:rsidRDefault="0097246B" w:rsidP="009724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использования программы для ЭВМ "АС "Кабинет УЦ" за и</w:t>
            </w:r>
            <w:r w:rsidR="000B5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спользование при выпуске одного </w:t>
            </w:r>
            <w:bookmarkStart w:id="0" w:name="_GoBack"/>
            <w:bookmarkEnd w:id="0"/>
            <w:r w:rsidRPr="00B02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сертификата на физическое лицо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6B" w:rsidRPr="00B029CB" w:rsidRDefault="0097246B" w:rsidP="009724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9C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6B" w:rsidRPr="00B029CB" w:rsidRDefault="0097246B" w:rsidP="009724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9CB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</w:tbl>
    <w:p w:rsidR="00F447F4" w:rsidRDefault="00F447F4" w:rsidP="005D0CAD">
      <w:pPr>
        <w:shd w:val="clear" w:color="auto" w:fill="FFFFFF"/>
        <w:ind w:firstLine="567"/>
        <w:jc w:val="both"/>
        <w:rPr>
          <w:b/>
          <w:bCs/>
          <w:color w:val="000000"/>
        </w:rPr>
      </w:pPr>
    </w:p>
    <w:p w:rsidR="00C703BA" w:rsidRPr="00913395" w:rsidRDefault="00C703BA" w:rsidP="00C703BA">
      <w:pPr>
        <w:tabs>
          <w:tab w:val="num" w:pos="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395">
        <w:rPr>
          <w:rFonts w:ascii="Times New Roman" w:hAnsi="Times New Roman"/>
          <w:sz w:val="24"/>
          <w:szCs w:val="24"/>
        </w:rPr>
        <w:t xml:space="preserve">Целью оказания Услуг является организация взаимодействия Заказчика с УЦ для получения Заказчиком и пользователями Заказчика СКПЭП, а также техническая поддержка Пользователей Заказчика в течение срока действия выданного СКЭП. </w:t>
      </w:r>
    </w:p>
    <w:p w:rsidR="00C703BA" w:rsidRPr="00913395" w:rsidRDefault="00C703BA" w:rsidP="00C703BA">
      <w:pPr>
        <w:tabs>
          <w:tab w:val="num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13395">
        <w:rPr>
          <w:rFonts w:ascii="Times New Roman" w:hAnsi="Times New Roman"/>
          <w:sz w:val="24"/>
          <w:szCs w:val="24"/>
        </w:rPr>
        <w:t xml:space="preserve">Сроки оказания Услуг: с момента заключения </w:t>
      </w:r>
      <w:r w:rsidR="00B029CB">
        <w:rPr>
          <w:rFonts w:ascii="Times New Roman" w:hAnsi="Times New Roman"/>
          <w:sz w:val="24"/>
          <w:szCs w:val="24"/>
        </w:rPr>
        <w:t xml:space="preserve">договора </w:t>
      </w:r>
      <w:r w:rsidRPr="00913395">
        <w:rPr>
          <w:rFonts w:ascii="Times New Roman" w:hAnsi="Times New Roman"/>
          <w:sz w:val="24"/>
          <w:szCs w:val="24"/>
        </w:rPr>
        <w:t>и до 31 декабря 2024</w:t>
      </w:r>
      <w:r w:rsidRPr="00913395">
        <w:rPr>
          <w:rFonts w:ascii="Times New Roman" w:hAnsi="Times New Roman"/>
          <w:i/>
          <w:sz w:val="24"/>
          <w:szCs w:val="24"/>
        </w:rPr>
        <w:t xml:space="preserve"> </w:t>
      </w:r>
      <w:r w:rsidRPr="00913395">
        <w:rPr>
          <w:rFonts w:ascii="Times New Roman" w:hAnsi="Times New Roman"/>
          <w:sz w:val="24"/>
          <w:szCs w:val="24"/>
        </w:rPr>
        <w:t>года.</w:t>
      </w:r>
    </w:p>
    <w:p w:rsidR="00B029CB" w:rsidRDefault="00B029CB" w:rsidP="00C703BA">
      <w:pPr>
        <w:tabs>
          <w:tab w:val="num" w:pos="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1.Состав услуг</w:t>
      </w:r>
    </w:p>
    <w:p w:rsidR="00C703BA" w:rsidRPr="00913395" w:rsidRDefault="00C703BA" w:rsidP="00C703BA">
      <w:pPr>
        <w:tabs>
          <w:tab w:val="num" w:pos="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395">
        <w:rPr>
          <w:rFonts w:ascii="Times New Roman" w:hAnsi="Times New Roman"/>
          <w:sz w:val="24"/>
          <w:szCs w:val="24"/>
        </w:rPr>
        <w:t xml:space="preserve">Услуги оказываются на основании </w:t>
      </w:r>
      <w:r w:rsidR="00B029CB">
        <w:rPr>
          <w:rFonts w:ascii="Times New Roman" w:hAnsi="Times New Roman"/>
          <w:sz w:val="24"/>
          <w:szCs w:val="24"/>
        </w:rPr>
        <w:t>Договор</w:t>
      </w:r>
      <w:r w:rsidRPr="00913395">
        <w:rPr>
          <w:rFonts w:ascii="Times New Roman" w:hAnsi="Times New Roman"/>
          <w:sz w:val="24"/>
          <w:szCs w:val="24"/>
        </w:rPr>
        <w:t>а и Технического задания. Состав, характеристики, качество и порядок оказания Услуг определяются настоящим Техническим заданием.</w:t>
      </w:r>
    </w:p>
    <w:p w:rsidR="00C703BA" w:rsidRPr="00913395" w:rsidRDefault="00C703BA" w:rsidP="00C703BA">
      <w:pPr>
        <w:tabs>
          <w:tab w:val="num" w:pos="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395">
        <w:rPr>
          <w:rFonts w:ascii="Times New Roman" w:hAnsi="Times New Roman"/>
          <w:sz w:val="24"/>
          <w:szCs w:val="24"/>
        </w:rPr>
        <w:t>В рамках выполнения технического задания Исполнитель предоставляет Заказчику:</w:t>
      </w:r>
    </w:p>
    <w:p w:rsidR="00C703BA" w:rsidRPr="00913395" w:rsidRDefault="00C703BA" w:rsidP="00C703BA">
      <w:pPr>
        <w:pStyle w:val="a3"/>
        <w:numPr>
          <w:ilvl w:val="0"/>
          <w:numId w:val="1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3395">
        <w:rPr>
          <w:rFonts w:ascii="Times New Roman" w:hAnsi="Times New Roman"/>
          <w:sz w:val="24"/>
          <w:szCs w:val="24"/>
        </w:rPr>
        <w:t>неисключительное право использования КЦР;</w:t>
      </w:r>
    </w:p>
    <w:p w:rsidR="00C703BA" w:rsidRPr="00913395" w:rsidRDefault="00C703BA" w:rsidP="00C703BA">
      <w:pPr>
        <w:pStyle w:val="a3"/>
        <w:numPr>
          <w:ilvl w:val="0"/>
          <w:numId w:val="1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3395">
        <w:rPr>
          <w:rFonts w:ascii="Times New Roman" w:hAnsi="Times New Roman"/>
          <w:sz w:val="24"/>
          <w:szCs w:val="24"/>
        </w:rPr>
        <w:t>обеспечение доступа Заказчика в КЦР;</w:t>
      </w:r>
    </w:p>
    <w:p w:rsidR="00C703BA" w:rsidRPr="00913395" w:rsidRDefault="00C703BA" w:rsidP="00C703BA">
      <w:pPr>
        <w:pStyle w:val="a3"/>
        <w:numPr>
          <w:ilvl w:val="0"/>
          <w:numId w:val="1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3395">
        <w:rPr>
          <w:rFonts w:ascii="Times New Roman" w:hAnsi="Times New Roman"/>
          <w:sz w:val="24"/>
          <w:szCs w:val="24"/>
        </w:rPr>
        <w:t xml:space="preserve">оказание технической и методической поддержки Пользователей по вопросам использования КЦР, СКЗИ и ЭП </w:t>
      </w:r>
      <w:r w:rsidRPr="00913395">
        <w:rPr>
          <w:rFonts w:ascii="Times New Roman" w:hAnsi="Times New Roman"/>
          <w:bCs/>
          <w:spacing w:val="-2"/>
          <w:sz w:val="24"/>
          <w:szCs w:val="24"/>
        </w:rPr>
        <w:t>сроком на 12 мес. с момента выдачи СКПЭП;</w:t>
      </w:r>
    </w:p>
    <w:p w:rsidR="00C703BA" w:rsidRDefault="00C703BA" w:rsidP="00C703BA">
      <w:pPr>
        <w:pStyle w:val="a3"/>
        <w:numPr>
          <w:ilvl w:val="0"/>
          <w:numId w:val="1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3395">
        <w:rPr>
          <w:rFonts w:ascii="Times New Roman" w:hAnsi="Times New Roman"/>
          <w:sz w:val="24"/>
          <w:szCs w:val="24"/>
        </w:rPr>
        <w:t>услуги Удостоверяющего центра, указанные в п. 4.5.</w:t>
      </w:r>
    </w:p>
    <w:p w:rsidR="00B029CB" w:rsidRPr="00B029CB" w:rsidRDefault="00B029CB" w:rsidP="00B029CB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029CB">
        <w:rPr>
          <w:rFonts w:ascii="Times New Roman" w:hAnsi="Times New Roman"/>
          <w:sz w:val="24"/>
          <w:szCs w:val="24"/>
        </w:rPr>
        <w:t>2.1.</w:t>
      </w:r>
      <w:r w:rsidRPr="00B029CB">
        <w:rPr>
          <w:rFonts w:ascii="Times New Roman" w:hAnsi="Times New Roman"/>
          <w:sz w:val="24"/>
          <w:szCs w:val="24"/>
        </w:rPr>
        <w:tab/>
        <w:t xml:space="preserve">После настройки КЦР и до 31 декабря 2024г. Администратор КЦР начинает использовать КЦР для взаимодействия с УЦ, направляя в УЦ заявки на выдачу СКПЭП, а Пользователи Заказчика получают в КЦР выданные УЦ СКПЭП. </w:t>
      </w:r>
    </w:p>
    <w:p w:rsidR="00B029CB" w:rsidRPr="00B029CB" w:rsidRDefault="00B029CB" w:rsidP="00B029CB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029CB">
        <w:rPr>
          <w:rFonts w:ascii="Times New Roman" w:hAnsi="Times New Roman"/>
          <w:sz w:val="24"/>
          <w:szCs w:val="24"/>
        </w:rPr>
        <w:t>2.2.</w:t>
      </w:r>
      <w:r w:rsidRPr="00B029CB">
        <w:rPr>
          <w:rFonts w:ascii="Times New Roman" w:hAnsi="Times New Roman"/>
          <w:sz w:val="24"/>
          <w:szCs w:val="24"/>
        </w:rPr>
        <w:tab/>
        <w:t xml:space="preserve">Администратор КЦР при направлении заявок на выдачу СКПЭП самостоятельно контролирует содержание данных заявки, которые должны будут входить в состав обязательных полей СКПЭП. Состав данных заявки должен соответствовать требованиям, установленным в соответствии с Федеральным законом №63-ФЗ от 6 апреля 2011 г. «Об электронной подписи». </w:t>
      </w:r>
    </w:p>
    <w:p w:rsidR="00B029CB" w:rsidRPr="00B029CB" w:rsidRDefault="00B029CB" w:rsidP="00B029CB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029CB">
        <w:rPr>
          <w:rFonts w:ascii="Times New Roman" w:hAnsi="Times New Roman"/>
          <w:sz w:val="24"/>
          <w:szCs w:val="24"/>
        </w:rPr>
        <w:t>2.3.</w:t>
      </w:r>
      <w:r w:rsidRPr="00B029CB">
        <w:rPr>
          <w:rFonts w:ascii="Times New Roman" w:hAnsi="Times New Roman"/>
          <w:sz w:val="24"/>
          <w:szCs w:val="24"/>
        </w:rPr>
        <w:tab/>
        <w:t xml:space="preserve">Выпуск сертификатов осуществляется посредством личного кабинета УЦ. Перевыпуск сертификата возможен после подписания заявления на выдачу сертификата с помощью действующего, в личном кабинете УЦ. </w:t>
      </w:r>
    </w:p>
    <w:p w:rsidR="00B029CB" w:rsidRPr="00B029CB" w:rsidRDefault="00B029CB" w:rsidP="00B029CB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029CB">
        <w:rPr>
          <w:rFonts w:ascii="Times New Roman" w:hAnsi="Times New Roman"/>
          <w:sz w:val="24"/>
          <w:szCs w:val="24"/>
        </w:rPr>
        <w:t>2.4.</w:t>
      </w:r>
      <w:r w:rsidRPr="00B029CB">
        <w:rPr>
          <w:rFonts w:ascii="Times New Roman" w:hAnsi="Times New Roman"/>
          <w:sz w:val="24"/>
          <w:szCs w:val="24"/>
        </w:rPr>
        <w:tab/>
        <w:t>После получения СКПЭП в течение 12 месяцев Пользователи Заказчика получают техническую поддержку Исполнителя, согласно требованиям, установленным в п. 5. Технического задания.</w:t>
      </w:r>
    </w:p>
    <w:p w:rsidR="00B029CB" w:rsidRPr="00913395" w:rsidRDefault="00B029CB" w:rsidP="00B029CB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029CB">
        <w:rPr>
          <w:rFonts w:ascii="Times New Roman" w:hAnsi="Times New Roman"/>
          <w:sz w:val="24"/>
          <w:szCs w:val="24"/>
        </w:rPr>
        <w:tab/>
        <w:t>Объём оказываемых Услуг</w:t>
      </w:r>
    </w:p>
    <w:p w:rsidR="00C703BA" w:rsidRPr="00B029CB" w:rsidRDefault="00C703BA" w:rsidP="00B029CB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1" w:name="_Ref372635618"/>
      <w:bookmarkStart w:id="2" w:name="_Ref372635629"/>
      <w:bookmarkStart w:id="3" w:name="_Toc80795359"/>
      <w:bookmarkStart w:id="4" w:name="_Toc80952114"/>
      <w:bookmarkStart w:id="5" w:name="_Toc304562632"/>
      <w:r w:rsidRPr="00B029CB">
        <w:rPr>
          <w:rFonts w:ascii="Times New Roman" w:hAnsi="Times New Roman" w:cs="Times New Roman"/>
          <w:sz w:val="24"/>
          <w:szCs w:val="24"/>
        </w:rPr>
        <w:t xml:space="preserve">Исполнитель должен предоставить неисключительное право использования программы, предназначенной для взаимодействия с УЦ в процессе выдачи СКПЭП, в объеме, позволяющем Заказчику </w:t>
      </w:r>
      <w:r w:rsidRPr="00B029CB">
        <w:rPr>
          <w:rFonts w:ascii="Times New Roman" w:hAnsi="Times New Roman" w:cs="Times New Roman"/>
          <w:sz w:val="24"/>
          <w:szCs w:val="24"/>
        </w:rPr>
        <w:t>получить</w:t>
      </w:r>
      <w:r w:rsidRPr="00B029CB">
        <w:rPr>
          <w:rFonts w:ascii="Times New Roman" w:hAnsi="Times New Roman" w:cs="Times New Roman"/>
          <w:sz w:val="24"/>
          <w:szCs w:val="24"/>
        </w:rPr>
        <w:t xml:space="preserve"> в УЦ СКПЭП в количестве 101, в том числе:</w:t>
      </w:r>
    </w:p>
    <w:p w:rsidR="00C703BA" w:rsidRPr="00913395" w:rsidRDefault="00C703BA" w:rsidP="00C703BA">
      <w:pPr>
        <w:pStyle w:val="a3"/>
        <w:numPr>
          <w:ilvl w:val="0"/>
          <w:numId w:val="1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3395">
        <w:rPr>
          <w:rFonts w:ascii="Times New Roman" w:hAnsi="Times New Roman"/>
          <w:sz w:val="24"/>
          <w:szCs w:val="24"/>
        </w:rPr>
        <w:lastRenderedPageBreak/>
        <w:t>исполнитель выдает СКПЭП Администратора КЦР в количестве __1__ шт.;</w:t>
      </w:r>
    </w:p>
    <w:p w:rsidR="00C703BA" w:rsidRPr="00913395" w:rsidRDefault="00C703BA" w:rsidP="00C703BA">
      <w:pPr>
        <w:pStyle w:val="a3"/>
        <w:numPr>
          <w:ilvl w:val="0"/>
          <w:numId w:val="1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3395">
        <w:rPr>
          <w:rFonts w:ascii="Times New Roman" w:hAnsi="Times New Roman"/>
          <w:color w:val="000000"/>
          <w:sz w:val="24"/>
          <w:szCs w:val="24"/>
          <w:lang w:eastAsia="ru-RU"/>
        </w:rPr>
        <w:t>право использования программы для ЭВМ «АС «Кабинет УЦ» за использование при выпуске одного сертификата на физическое лицо в количестве 100 шт;</w:t>
      </w:r>
    </w:p>
    <w:p w:rsidR="00C703BA" w:rsidRPr="00913395" w:rsidRDefault="00C703BA" w:rsidP="00C703B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703BA" w:rsidRPr="00913395" w:rsidRDefault="00C703BA" w:rsidP="00C703B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1339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Предоставить лицензии на право использования СКЗИ: </w:t>
      </w:r>
    </w:p>
    <w:p w:rsidR="00C703BA" w:rsidRPr="00913395" w:rsidRDefault="00C703BA" w:rsidP="00C703B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703BA" w:rsidRDefault="00C703BA" w:rsidP="00C703BA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913395">
        <w:rPr>
          <w:rFonts w:ascii="Times New Roman" w:hAnsi="Times New Roman"/>
          <w:color w:val="000000"/>
          <w:sz w:val="24"/>
          <w:szCs w:val="20"/>
          <w:lang w:eastAsia="ru-RU"/>
        </w:rPr>
        <w:t>Лицензия на право использования СКЗИ «КриптоПро CSP» в составе сертификата ключа администратора КЦР в количестве 1 шт.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2.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Основные требования к оказываемым Услугам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2.1.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Требования к СКПЭП и ЭП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СКПЭП должны: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соответствовать требованиям Федерального закона от 06.04.2011 № 63-ФЗ «Об электронной подписи»;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соответствовать приказу ФСБ России от 27.12.2011 № 795 «Об утверждении требований к форме квалифицированного сертификата ключа проверки электронной подписи»;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соответствовать криптографическим алгоритмам, определенным стандартами ГОСТ Р 34.11-2012 и ГОСТ Р 34.10-2012.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2.1.1.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Требования к единой структуре сертификата ключа проверки электронной подписи.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 xml:space="preserve">СКПЭП должен представляет собой электронный документ, подписанный электронной подписью уполномоченного лица удостоверяющего центра, структура и содержание которого определяются: 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Федеральным законом Российской Федерации от 06.04.2011 № 63 ФЗ «Об электронной подписи»;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 xml:space="preserve"> приказом ФСБ России №795 от 27 декабря 2011 года «Об утверждении требований к форме квалифицированного сертификата ключа проверки электронной подписи»;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val="en-US"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val="en-US"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val="en-US" w:eastAsia="ru-RU"/>
        </w:rPr>
        <w:tab/>
        <w:t xml:space="preserve"> 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международными</w:t>
      </w:r>
      <w:r w:rsidRPr="00B029CB">
        <w:rPr>
          <w:rFonts w:ascii="Times New Roman" w:hAnsi="Times New Roman"/>
          <w:color w:val="000000"/>
          <w:sz w:val="24"/>
          <w:szCs w:val="20"/>
          <w:lang w:val="en-US" w:eastAsia="ru-RU"/>
        </w:rPr>
        <w:t xml:space="preserve"> 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рекомендациями</w:t>
      </w:r>
      <w:r w:rsidRPr="00B029CB">
        <w:rPr>
          <w:rFonts w:ascii="Times New Roman" w:hAnsi="Times New Roman"/>
          <w:color w:val="000000"/>
          <w:sz w:val="24"/>
          <w:szCs w:val="20"/>
          <w:lang w:val="en-US" w:eastAsia="ru-RU"/>
        </w:rPr>
        <w:t xml:space="preserve"> RFC 5280 «Internet X.509 Public Key Infrastructure Certificate and Certificate Revocation List (CRL) Profile».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 xml:space="preserve">СКПЭП должен содержать: 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обязательные поля СКПЭП;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расширения СКПЭП.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2.1.2.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Требования к составу и содержанию расширений СКПЭП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В состав расширений СКПЭП должны входить следующие расширения: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 xml:space="preserve"> расширение «Использование ключа» (обязательное поле), поле должно содержать набор областей использования ключа: Цифровая подпись, Неотрекаемость, Шифрование ключей, Шифрование данных;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расширение «Улучшенный ключ», поле должно содержит набор областей использования ключа. Набор областей должен включать следующие области: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проверка подлинности клиента (1.3.6.1.5.5.7.3.2);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защищенная электронная почта (1.3.6.1.5.5.7.3.4);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пользователь Центра Регистрации, HTTP, TLS клиент (1.2.643.2.2.34.6).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расширение «Идентификатор ключа субъекта» должно содержать идентификатор ключа владельца СКПЭП;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расширение «Идентификатор ключа центра сертификатов», расширение должно содержать идентификатор ключа уполномоченного лица УЦ;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расширение «Политики сертификата», расширение должно включать сведения о классе средств ЭП владельца СКПЭП;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расширение «Точки распространения списков отзыва», расширение должно содержать URL-адрес точек распространения списков отозванных сертификатов по протоколу «http».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2.2.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 xml:space="preserve">Требования к КЦР 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 xml:space="preserve">Для организации приема и обработки запросов на выдачу СКПЭП, Исполнитель должен подключить ресурсы Заказчика к КЦР. 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Внедрение КЦР необходимо Заказчику для автоматизации взаимодействия с УЦ Исполнителя и сокращения сроков получения СКПЭП.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2.2.1.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 xml:space="preserve">КЦР должен располагать следующей функциональностью: 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разграничение доступа Администратора КЦР и Пользователей Заказчика к КЦР;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lastRenderedPageBreak/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 xml:space="preserve">предоставлять веб-интерфейс для выполнения операций по управлению жизненным циклом СКПЭП; 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 xml:space="preserve">возможность просмотра списка запросов на СКПЭП и списка выданных СКПЭП; 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 xml:space="preserve">возможность создания запроса на выдачу СКПЭП; 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 xml:space="preserve">возможность удаления запроса на СКПЭП; 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возможность редактирования данных при формировании запроса на выдачу СКПЭП, включаемых в СКПЭП;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 xml:space="preserve">возможность контроля соответствия требованиям и ограничениям: 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соответствие по формату полей;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 xml:space="preserve">соответствие скан-копиям документов, 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проверка действительности документов по реквизитам (паспорт, СНИЛС);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возможность печати заявления на выдачу сертификата ЭП;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возможность скачивания бумажной копии СКПЭП;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возможность скачивания открытого ключа СКПЭП;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 xml:space="preserve">возможность загрузки/просмотра скан-копий документов; 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 xml:space="preserve">возможность ввода реквизитов скан-копий документов; 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возможность распознавания скан-копий документов;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возможность генерации закрытого ключа в режиме ФКН (функционального ключевого носителя с защитой канала);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 xml:space="preserve">возможность просмотра информации о выдаваемом СКПЭП; 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возможность уведомления Пользователей и Администраторов КЦР об изменениях статусов запроса на выдачу СКПЭП (по e-mail или СМС);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Предоставление инструкций по работе в КЦР. Уведомление об изменениях в КЦР (по email).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Выделенный номер технической поддержки.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Поддержка работы с КриптоПро CSP и ViPNet CSP.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2.2.2.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 xml:space="preserve">Необходимая функциональность КЦР для Администратора КЦР: 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вход по логину и паролю (с обязательной двухфакторной аутентификацией по СМС – коду);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вход по СКПЭП;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 xml:space="preserve">возможность просмотра списка заявок на выдачу СКПЭП, списка выданных СКПЭП для пользователя; 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возможность просмотра баланса предоплаченных сертификатов;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возможность создания заявки на перевыпуск сертификата юридического лица с реквизитами физического лица;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возможность привязки заявки на сертификат физического лица к организации;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 xml:space="preserve">возможность редактирования данных о Пользователе, обратившемся за СКПЭП; 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 xml:space="preserve">возможность загрузки/просмотра скан-копий документов (паспорт, СНИЛС, заявление на выдачу СКПЭП); 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возможность просмотра подробной истории действий по заявке;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 xml:space="preserve">возможность выгрузки списка СКПЭП в Excel; 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 xml:space="preserve">возможность создания запросов на управление жизненным циклом СКПЭП в электронном виде и отправка их в УЦ; 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возможность формирования описи документов для отправки в УЦ;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возможность отклонения и редактирования заявки, одобренной в УЦ;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возможность оставлять заметки/комментарии к заявке;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возможность поиска по данным заявки (ИНН, ФИО, по тексту заметки).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Возможность просмотра информации о месте установки СКПЭП: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реестр ПК (до ветки реестра);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ключевой носитель (до серийного номера);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usb –носитель (до модели файловой системы);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управление экспортируемостью сертификата до его выпуска.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возможность уведомления администратора об окончании срока действия сертификата в самом сервисе.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lastRenderedPageBreak/>
        <w:t>2.2.3.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Необходимая функциональность КЦР для Пользователей: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вход по логину и паролю (с подтверждением доступа к персональным данным через СМС – код или действующий сертификат);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вход по СКПЭП;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 xml:space="preserve">возможность загрузки/просмотра скан-копий документов (паспорт, СНИЛС, заявление на выдачу СКПЭП); 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 xml:space="preserve">возможность подписи заявления на выдачу СКПЭП действующим СКПЭП пользователя; 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возможность оставлять заметки/комментарии к заявке;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возможность ознакомления с информацией, содержащейся в СКПЭП под расписку, в соответствии с ФЗ№ 63 от 06.04.2011;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 xml:space="preserve">возможность установки выпущенного СКПЭП на ключевой носитель; 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 xml:space="preserve">возможность просмотра списка своих заявок на выдачу СКПЭП, списка выданных СКПЭП; 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возможность копирования сертификата на рабочем месте пользователя посредством криптопровайдера;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 xml:space="preserve">возможность проверки на соответствие требованиям используемых типов ключевых носителей. 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возможность уведомления пользователей об окончании срока действия сертификатов по еmail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4.2.3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Функциональность КЦР для проверки готовности АРМ Пользователя для работы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 xml:space="preserve">В КЦР должна быть функциональность, позволяющая проверить готовность АРМ Пользователя для работы с выдачей предупреждающего уведомления о необходимости установки программных компонент, недостающих для корректной работы с КЦР, СКЗИ, ключами ЭП и ЭП. Пользователю должна быть предоставлена возможность выбора действий по установке, позволяющая осуществить: 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настройку АРМ Пользователя и браузера для работы с СКПЭП;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 xml:space="preserve">исправление расположения временной папки операционной системы АРМ Пользователя; 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 xml:space="preserve">отключение конфликтных служб с операционной системой АРМ Пользователя; 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 xml:space="preserve">отключение конфликтных надстроек браузера; 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 xml:space="preserve">отключение конфликтных программ в автозагрузке операционной системы АРМ Пользователя; 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 xml:space="preserve">изменение режима кеширования страниц браузера; 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 xml:space="preserve">установка корневых сертификатов УЦ; 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 xml:space="preserve">установка драйверов ключевых носителей; 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 xml:space="preserve">запуск службы «Автоматическое обновление» операционной системы; 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 xml:space="preserve">установка необходимого пакета обновлений операционной системы и браузера; 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 xml:space="preserve">запуск необходимых служб операционной системы; 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 xml:space="preserve">регистрация OID сертификатов для УЦ; 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 xml:space="preserve">установка сертификатов в хранилище «Личное» с ключевых носителей; 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 xml:space="preserve">возможность локальной загрузки на АРМ Пользователя необходимых компонентов для работы с СКПЭП; 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 xml:space="preserve">возможность уменьшения объема загружаемых файлов за счет анализа локально размещенных на рабочей станции установочных файлов и установленных программ; 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 xml:space="preserve">возможность самостоятельного выбора пользователем необходимых для установки компонентов. 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 xml:space="preserve">Сервис должен функционировать в: 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 xml:space="preserve">ОС: Windows 8/10/2012 (32 или 64 бит); 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Интернет браузер: GoogleChrome, Opera, MozillaFirefox, Яндекс.Браузер.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        4.2.6 Требование к средствам криптографической защиты информации 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 xml:space="preserve">Средства криптографической защиты информации должны обеспечивать: 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 xml:space="preserve">авторизацию и обеспечение юридической значимости электронных документов при обмене ими между пользователями, посредством использования процедур формирования и проверки электронной цифровой подписи (ЭЦП) в соответствии со стандартами ГОСТ Р 34.10-2012 (с использованием ГОСТ Р 34.11-2012); 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 xml:space="preserve">аутентичность, конфиденциальность и имитозащиту соединений TLS; 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lastRenderedPageBreak/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 xml:space="preserve">контроль целостности системного и прикладного программного обеспечения для его защиты от несанкционированного изменения или от нарушения правильности функционирования; 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 xml:space="preserve">управление ключевыми элементами системы в соответствии с регламентом средств защиты; 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 xml:space="preserve">реализацию протокола EAP/TLS; 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 xml:space="preserve">внешний интерфейс СКЗИ для обеспечения работы с функциональным ключевым носителем (ФКН), согласования ключей для использования в реализациях протокола IPSec, работы с другими приложениями. 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 xml:space="preserve">Требования к действующим алгоритмам: 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 xml:space="preserve">алгоритм выработки значения хэш-функции должен быть реализован в соответствии с требованиями ГОСТ Р 34.11-2012 «Информационная технология. Криптографическая защита информации. Функция хэширования»; 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алгоритмы формирования и проверки электронной подписи должны быть реализованы в соответствии с требованиями ГОСТ Р 34.10-2012 «Информационная технология. Криптографическая защита информации. Процессы формирования и проверки электронной цифровой подписи»;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 xml:space="preserve">при генерации закрытых и открытых ключей должна быть обеспечена возможность генерации с различными параметрами в соответствии ГОСТ Р 34.10-2012; 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 xml:space="preserve">4.2.7 Требования к размеру ключей электронной подписи 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 xml:space="preserve">длина ключей электронной подписи: 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 xml:space="preserve">закрытый ключ должен быть 256 бит, 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 xml:space="preserve">открытый ключ должен быть 512 бит при использовании алгоритма ГОСТ Р 34.10-2012. 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 xml:space="preserve">длина ключей, используемых при шифровании: 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закрытый ключ должен быть 256 бит,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 xml:space="preserve">открытый ключ должен быть 512 бит на базе алгоритма ГОСТ Р 34.10-2012, 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симметричный ключ - 256 бит.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 xml:space="preserve">длина ключей, используемых при шифровании: 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 xml:space="preserve">закрытый ключ должен быть 256 бит, 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открытый ключ должен быть 512 бит на базе алгоритма ГОСТ Р 34.10-2012,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 xml:space="preserve">симметричный ключ должен быть 256 бит. 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        4.2.8 Требования к поддержке устройств хранения персональной ключевой и парольной информации 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 xml:space="preserve">Средство криптографической защиты информации должно поддерживать работу с устройствами хранения персональной ключевой и парольной информации с USB-интерфейсом. 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        4.2.9 Требования к сертификации. 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 xml:space="preserve">Средство криптографической защиты информации должно иметь действующий сертификат соответствия требованиям ФСБ России к шифровальным (криптографическим) средствам класса не ниже КС1 и может использоваться для криптографической защиты информации (в том числе защиты TLS-соединений), не содержащей сведений, составляющих государственную тайну. 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        3. Требования к типу лицензии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Заказчику должны быть предоставления неисключительные права в составе СКПЭП на использования СКЗИ сроком действия равным сроку СКПЭП.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         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4.4 Требования к услугам удостоверяющего центра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В состав услуг УЦ, предоставляемых Исполнителем Заказчику, должны входить: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выдача СКПЭП с информацией о сроке действия, с объектными идентификаторами;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ограничение срока действия СКПЭП – 12 мес (если иное не предусмотрено законодательством);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возможность создания ключа электронной подписи и ключа проверки электронной подписи Пользователем;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прекращение действия СКПЭП;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ведение реестра СКПЭП, обеспечение его актуальности и сохранности;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проверка и обеспечение уникальности ключей проверки электронной подписи в реестре сертификатов;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организацию и обеспечение исполнения требований к СКПЭП и электронной подписи согласно п. 4.1 ТЗ;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lastRenderedPageBreak/>
        <w:t>- удостоверение времени создания и/или подписания электронного документа,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 xml:space="preserve">- соответствие следующим стандартам: RFC 3161 Internet X.509 Public Key 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val="en-US"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val="en-US" w:eastAsia="ru-RU"/>
        </w:rPr>
        <w:t>Infrastructure. Time-Stamp Protocol (TSP).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 возможность проверки статуса СКПЭП в режиме реального времени,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val="en-US"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работу</w:t>
      </w:r>
      <w:r w:rsidRPr="00B029CB">
        <w:rPr>
          <w:rFonts w:ascii="Times New Roman" w:hAnsi="Times New Roman"/>
          <w:color w:val="000000"/>
          <w:sz w:val="24"/>
          <w:szCs w:val="20"/>
          <w:lang w:val="en-US" w:eastAsia="ru-RU"/>
        </w:rPr>
        <w:t xml:space="preserve"> 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по</w:t>
      </w:r>
      <w:r w:rsidRPr="00B029CB">
        <w:rPr>
          <w:rFonts w:ascii="Times New Roman" w:hAnsi="Times New Roman"/>
          <w:color w:val="000000"/>
          <w:sz w:val="24"/>
          <w:szCs w:val="20"/>
          <w:lang w:val="en-US" w:eastAsia="ru-RU"/>
        </w:rPr>
        <w:t xml:space="preserve"> 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протоколу</w:t>
      </w:r>
      <w:r w:rsidRPr="00B029CB">
        <w:rPr>
          <w:rFonts w:ascii="Times New Roman" w:hAnsi="Times New Roman"/>
          <w:color w:val="000000"/>
          <w:sz w:val="24"/>
          <w:szCs w:val="20"/>
          <w:lang w:val="en-US" w:eastAsia="ru-RU"/>
        </w:rPr>
        <w:t xml:space="preserve">  RFC 2560 Internet X.509 Public Key Infrastructure Online Certificate Status Protocol (OCSP). 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val="en-US" w:eastAsia="ru-RU"/>
        </w:rPr>
        <w:t xml:space="preserve"> 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 xml:space="preserve">Требования к оказанию услуг 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4.5 Требования к оказанию услуг УЦ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УЦ оказывает услуги в порядке и в сроки, установленные Регламентом (порядком) оказания услуг, публикуемым на общедоступном сайте УЦ в сети Интернет.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УЦ выполняет все функции и осуществляет все действия, предусмотренные 63-ФЗ.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№ п/п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Состав услуг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Время выполнения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Период предоставления услуг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1.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Выдача СКПЭП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Не более 3 рабочих дней с момента предоставления пользователем Заказчика необходимых документов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В режиме 24х7х365: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круглосуточно, без выходных дней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2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Ведение реестра СКПЭП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Актуализация с периодичностью не менее, чем 1 раз в день.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В режиме 24х7х365: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круглосуточно, без выходных дней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3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Аннулирование СКПЭП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Не более 12 часов с момента поступления заявления на отзыв по форме, установленной Регламентом (порядком) оказания услуг УЦ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В режиме 24х7х365: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круглосуточно, без выходных дней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4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Оказание услуг по сопровождению деятельности администратора КЦР с выдачей сертификата администратора КЦР по тарифному плану «Корпоративный»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4.1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Техническая поддержка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Согласно пункту 5 настоящего ТЗ.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В режиме 24х7х365: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круглосуточно, без выходных дней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4.2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Изготовление квалифицированного Сертификата Администратора на уполномоченное лицо Заказчика сроком действия один год.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Выпуск сертификата Администратора сроком на 1 год по месту нахождения Исполнителя или Заказчика (согласно условиям ТЗ).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В режиме 8х5х365: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в рабочие дни Исполнителя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4.3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Сопровождение Сертификата Администратора.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 xml:space="preserve">Возможность производить смену и отзыв (прекращение действия) Сертификата в течение срока действия этого Сертификата (не более трех раз). Срок действия каждого вновь выданного Сертификата в рамках настоящих услуг ограничивается сроком действия первого Сертификата 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В режиме 8х5х365: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в рабочие дни Исполнителя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4.4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 xml:space="preserve">Ускоренная проверка формы заявки на выпуск сертификата Администратора 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 xml:space="preserve">Проверка всех фактов соответствия сведений в Заявлении на выдачу Сертификата в течение 2 часов с момента представления всех необходимых документов 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В режиме 8х5х365: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в рабочие дни Исполнителя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4.5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Возможность назначения неограниченного количества дополнительных Администраторов с доступом по логину и паролю для работы в АС «Кабинет УЦ» на время действия Сертификата Администратора с возможностью настройки различных прав по использованию «АС «Кабинет УЦ»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В режиме 8х5х365: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в рабочие дни Исполнителя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5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Требования к оказанию услуг технической поддержки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5.1.1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Общие положения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 xml:space="preserve">Услуги технической поддержки оказываются Исполнителем. 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Исполнитель в рамках технического сопровождения должен организовать горячую линию для обращений Заказчика: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горячая линия Исполнителя должна обеспечивать Заказчику возможность оперативно получать консультации по вопросам использования, установки и настройки СКПЭП, выданных Исполнителем, в рамках областей их применения;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горячая линия должна работать круглосуточно, без выходных дней, в режиме 24х7х365;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lastRenderedPageBreak/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при необходимости и с согласия Заказчика консультации должны оказываться при помощи технологий удалённого доступа.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5.1.2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Требования к оказанию услуг по телефону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Исполнитель должен обеспечить единую точку входа для телефонных обращений Заказчика. Номер телефона должен принадлежать пулу адресов ТфОП населенного пункта размещения Заказчика или префиксу 8-800.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Исполнитель должен обеспечивать уровень обслуживания не ниже 80/90 (ожидание ответа у 80% обращений абонентов составляет не более 90 секунд).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Исполнитель должен обеспечить соединение Заказчика с консультантом Исполнителя со следующими количественными характеристиками (с момента соединения с консультантом Исполнителя):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консультант Исполнителя должен поднимать трубку звонящего телефона не позднее пятого звонка (не более чем через 10 секунд). Консультант Исполнителя должен представиться (фамилия, имя);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 xml:space="preserve">каждое обращение Заказчика должно фиксироваться: 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должна производиться аудиозапись каждого обращения Заказчика,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в случае если, проблему не удалось решить сразу, Заказчику должен сообщаться номер обращения, либо внутренний номер консультанта Исполнителя и сроки решения проблемы.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Заявки от Заказчика, требующие для решения привлечения дополнительных специалистов Исполнителя, должны переводиться на соответствующие отделы сразу после обращения. Информация о ходе решения должна быть сообщена Заказчику не позднее суток с момента его последнего обращения.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 xml:space="preserve">Консультант Исполнителя должен доводить решение проблемы Заказчика до логического завершения (Заказчик подтверждает решение проблемы). 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5.1.3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Требования к оказанию услуг через веб-сайт (Онлайн-консультант)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Онлайн-консультант должен располагаться на сайте Исполнителя, каждый ответ от специалиста Исполнителя должен содержать ФИО консультанта.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5.1.4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Требования к оказанию услуг по почте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Исполнитель должен обеспечить единую точку входа для обращений по электронной почте.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Обработка почты должна вестись в режиме 24/7/365.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Ответ Исполнителя должен отправляться не позднее 2-х часов с момента поступления письма Заказчика. Если решение требует привлечения дополнительных сотрудников Исполнителя, то в ответе должен быть указан номер обращения и сроки решения проблемы.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Каждый ответ от специалиста Исполнителя должен содержать всю контактную информацию: ФИО, телефон, внутренний номер, должность.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Ответ на официальный письменный запрос Заказчика по почте должен предоставляться не позднее чем через 30 календарных дней с момента поступления обращения.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6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ab/>
        <w:t>Требования к Исполнителю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Исполнитель должен иметь лицензию Федеральной службы безопасности Российской Федерации на осуществление разработки, производства, распространения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выполнению работ, оказанию услуг в области шифрования информации, техническому обслуживанию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 (за исключением случая, если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предпринимателя, при условии наличия в данной действующей лицензии следующих работ (видов деятельности), предусмотренных пунктами: 12, 15, 20, 21, 24, 28 перечня выполняемых работ и оказываемых услуг, составляющих лицензируемую деятельность в отношении шифровальных (криптографических) средств, являющихся приложением к Положению, утвержденному Постановлением Правительства Российской Федерации от 16 апреля 2012 г. № 313;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 xml:space="preserve">Исполнитель должен являться УЦ и быть аккредитован требованиям 63-ФЗ. 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lastRenderedPageBreak/>
        <w:t>Исполнитель должен выполнять требования 152-ФЗ и иных нормативных документов по защите ПДн и должен быть включен в реестр операторов, осуществляющих обработку персональных данных.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Исполнитель должен заключить с Заказчиком лицензионный/сублицензионный договор на передачу права использования программы для ЭВМ.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Программное обеспечение должно содержаться в Едином реестре российских программ для ЭВМ и баз данных.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 xml:space="preserve">Предоставление Услуг должно осуществляться в соответствии с регламентом УЦ, 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>Договор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а и Технического задания.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b/>
          <w:color w:val="000000"/>
          <w:sz w:val="24"/>
          <w:szCs w:val="20"/>
          <w:lang w:eastAsia="ru-RU"/>
        </w:rPr>
        <w:t>Начальная максимальная цена договора, порядок формирования цены: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</w:t>
      </w:r>
      <w:r w:rsidRPr="00B029CB">
        <w:rPr>
          <w:rFonts w:ascii="Times New Roman" w:hAnsi="Times New Roman"/>
          <w:b/>
          <w:color w:val="000000"/>
          <w:sz w:val="24"/>
          <w:szCs w:val="20"/>
          <w:lang w:eastAsia="ru-RU"/>
        </w:rPr>
        <w:t>136 200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(сто тридцать шесть тысяч двести) рублей </w:t>
      </w:r>
      <w:r w:rsidRPr="00B029CB">
        <w:rPr>
          <w:rFonts w:ascii="Times New Roman" w:hAnsi="Times New Roman"/>
          <w:b/>
          <w:color w:val="000000"/>
          <w:sz w:val="24"/>
          <w:szCs w:val="20"/>
          <w:lang w:eastAsia="ru-RU"/>
        </w:rPr>
        <w:t>00</w:t>
      </w: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копеек с НДС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Порядок формирования цены договора: Стоимость услуг включает в себя все затраты, издержки и иные расходы Исполнителя, в том числе сопутствующие, связанные с исполнением настоящего Договора.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Форма оплаты - безналичный расчет производится Заказчиком путем перечисления денежных средств на расчетный счет Исполнителя.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B029CB">
        <w:rPr>
          <w:rFonts w:ascii="Times New Roman" w:hAnsi="Times New Roman"/>
          <w:color w:val="000000"/>
          <w:sz w:val="24"/>
          <w:szCs w:val="20"/>
          <w:lang w:eastAsia="ru-RU"/>
        </w:rPr>
        <w:t>Срок и порядок оплаты оказанных услуг: в течение 15 (пятнадцати) календарных дней с даты оказания услуг и получения Заказчиком оригинального комплекта документов  подписанного со стороны Исполнителя: счета на оплату, актов оказания услуг (2 экз.).</w:t>
      </w:r>
    </w:p>
    <w:p w:rsidR="00B029CB" w:rsidRPr="00B029CB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</w:p>
    <w:bookmarkEnd w:id="1"/>
    <w:bookmarkEnd w:id="2"/>
    <w:bookmarkEnd w:id="3"/>
    <w:bookmarkEnd w:id="4"/>
    <w:bookmarkEnd w:id="5"/>
    <w:p w:rsidR="00B029CB" w:rsidRPr="00913395" w:rsidRDefault="00B029CB" w:rsidP="00B02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</w:p>
    <w:sectPr w:rsidR="00B029CB" w:rsidRPr="00913395" w:rsidSect="0097246B">
      <w:pgSz w:w="11906" w:h="16838"/>
      <w:pgMar w:top="709" w:right="282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60A" w:rsidRDefault="003E660A" w:rsidP="008F646B">
      <w:r>
        <w:separator/>
      </w:r>
    </w:p>
  </w:endnote>
  <w:endnote w:type="continuationSeparator" w:id="0">
    <w:p w:rsidR="003E660A" w:rsidRDefault="003E660A" w:rsidP="008F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60A" w:rsidRDefault="003E660A" w:rsidP="008F646B">
      <w:r>
        <w:separator/>
      </w:r>
    </w:p>
  </w:footnote>
  <w:footnote w:type="continuationSeparator" w:id="0">
    <w:p w:rsidR="003E660A" w:rsidRDefault="003E660A" w:rsidP="008F6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15BF"/>
    <w:multiLevelType w:val="multilevel"/>
    <w:tmpl w:val="D9204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071D4"/>
    <w:multiLevelType w:val="hybridMultilevel"/>
    <w:tmpl w:val="825813A8"/>
    <w:lvl w:ilvl="0" w:tplc="EA04479C">
      <w:start w:val="1"/>
      <w:numFmt w:val="bullet"/>
      <w:lvlText w:val="-"/>
      <w:lvlJc w:val="left"/>
      <w:pPr>
        <w:ind w:left="1429" w:hanging="360"/>
      </w:pPr>
      <w:rPr>
        <w:rFonts w:ascii="Tempus Sans ITC" w:hAnsi="Tempus Sans IT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79648A"/>
    <w:multiLevelType w:val="hybridMultilevel"/>
    <w:tmpl w:val="39503428"/>
    <w:lvl w:ilvl="0" w:tplc="EA04479C">
      <w:start w:val="1"/>
      <w:numFmt w:val="bullet"/>
      <w:lvlText w:val="-"/>
      <w:lvlJc w:val="left"/>
      <w:pPr>
        <w:ind w:left="1429" w:hanging="360"/>
      </w:pPr>
      <w:rPr>
        <w:rFonts w:ascii="Tempus Sans ITC" w:hAnsi="Tempus Sans IT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59063E"/>
    <w:multiLevelType w:val="hybridMultilevel"/>
    <w:tmpl w:val="66205B06"/>
    <w:lvl w:ilvl="0" w:tplc="EA04479C">
      <w:start w:val="1"/>
      <w:numFmt w:val="bullet"/>
      <w:lvlText w:val="-"/>
      <w:lvlJc w:val="left"/>
      <w:pPr>
        <w:ind w:left="1429" w:hanging="360"/>
      </w:pPr>
      <w:rPr>
        <w:rFonts w:ascii="Tempus Sans ITC" w:hAnsi="Tempus Sans IT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B549EC"/>
    <w:multiLevelType w:val="hybridMultilevel"/>
    <w:tmpl w:val="E4040610"/>
    <w:lvl w:ilvl="0" w:tplc="EA04479C">
      <w:start w:val="1"/>
      <w:numFmt w:val="bullet"/>
      <w:lvlText w:val="-"/>
      <w:lvlJc w:val="left"/>
      <w:pPr>
        <w:ind w:left="1429" w:hanging="360"/>
      </w:pPr>
      <w:rPr>
        <w:rFonts w:ascii="Tempus Sans ITC" w:hAnsi="Tempus Sans IT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D00F7C"/>
    <w:multiLevelType w:val="hybridMultilevel"/>
    <w:tmpl w:val="628E7F94"/>
    <w:lvl w:ilvl="0" w:tplc="EA04479C">
      <w:start w:val="1"/>
      <w:numFmt w:val="bullet"/>
      <w:lvlText w:val="-"/>
      <w:lvlJc w:val="left"/>
      <w:pPr>
        <w:ind w:left="1429" w:hanging="360"/>
      </w:pPr>
      <w:rPr>
        <w:rFonts w:ascii="Tempus Sans ITC" w:hAnsi="Tempus Sans IT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956C05"/>
    <w:multiLevelType w:val="hybridMultilevel"/>
    <w:tmpl w:val="C6A40A2C"/>
    <w:lvl w:ilvl="0" w:tplc="EA04479C">
      <w:start w:val="1"/>
      <w:numFmt w:val="bullet"/>
      <w:lvlText w:val="-"/>
      <w:lvlJc w:val="left"/>
      <w:pPr>
        <w:ind w:left="1287" w:hanging="360"/>
      </w:pPr>
      <w:rPr>
        <w:rFonts w:ascii="Tempus Sans ITC" w:hAnsi="Tempus Sans ITC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F1D56BA"/>
    <w:multiLevelType w:val="hybridMultilevel"/>
    <w:tmpl w:val="3BEC503E"/>
    <w:lvl w:ilvl="0" w:tplc="EA04479C">
      <w:start w:val="1"/>
      <w:numFmt w:val="bullet"/>
      <w:lvlText w:val="-"/>
      <w:lvlJc w:val="left"/>
      <w:pPr>
        <w:ind w:left="1429" w:hanging="360"/>
      </w:pPr>
      <w:rPr>
        <w:rFonts w:ascii="Tempus Sans ITC" w:hAnsi="Tempus Sans IT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147E00"/>
    <w:multiLevelType w:val="hybridMultilevel"/>
    <w:tmpl w:val="80885512"/>
    <w:lvl w:ilvl="0" w:tplc="BE0C6A0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44D3F"/>
    <w:multiLevelType w:val="hybridMultilevel"/>
    <w:tmpl w:val="541C4716"/>
    <w:lvl w:ilvl="0" w:tplc="EA04479C">
      <w:start w:val="1"/>
      <w:numFmt w:val="bullet"/>
      <w:lvlText w:val="-"/>
      <w:lvlJc w:val="left"/>
      <w:pPr>
        <w:ind w:left="1287" w:hanging="360"/>
      </w:pPr>
      <w:rPr>
        <w:rFonts w:ascii="Tempus Sans ITC" w:hAnsi="Tempus Sans ITC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9666E4A"/>
    <w:multiLevelType w:val="hybridMultilevel"/>
    <w:tmpl w:val="0A26A4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E3EB9"/>
    <w:multiLevelType w:val="hybridMultilevel"/>
    <w:tmpl w:val="F680548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957635"/>
    <w:multiLevelType w:val="multilevel"/>
    <w:tmpl w:val="9CCE14D2"/>
    <w:lvl w:ilvl="0">
      <w:start w:val="1"/>
      <w:numFmt w:val="decimal"/>
      <w:pStyle w:val="2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pStyle w:val="4"/>
      <w:lvlText w:val="%1.%2.%3"/>
      <w:lvlJc w:val="left"/>
      <w:pPr>
        <w:tabs>
          <w:tab w:val="num" w:pos="1418"/>
        </w:tabs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pStyle w:val="5"/>
      <w:lvlText w:val="%1.%2.%3.%4"/>
      <w:lvlJc w:val="left"/>
      <w:pPr>
        <w:tabs>
          <w:tab w:val="num" w:pos="1418"/>
        </w:tabs>
        <w:ind w:left="567" w:firstLine="0"/>
      </w:pPr>
      <w:rPr>
        <w:rFonts w:hint="default"/>
        <w:b w:val="0"/>
        <w:i w:val="0"/>
        <w:color w:val="auto"/>
        <w:sz w:val="28"/>
        <w:szCs w:val="28"/>
      </w:rPr>
    </w:lvl>
    <w:lvl w:ilvl="4">
      <w:start w:val="1"/>
      <w:numFmt w:val="lowerLetter"/>
      <w:lvlText w:val="(%5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67"/>
        </w:tabs>
        <w:ind w:left="4167" w:hanging="360"/>
      </w:pPr>
      <w:rPr>
        <w:rFonts w:hint="default"/>
      </w:rPr>
    </w:lvl>
  </w:abstractNum>
  <w:abstractNum w:abstractNumId="13" w15:restartNumberingAfterBreak="0">
    <w:nsid w:val="32DC6E84"/>
    <w:multiLevelType w:val="hybridMultilevel"/>
    <w:tmpl w:val="B350B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7317E"/>
    <w:multiLevelType w:val="hybridMultilevel"/>
    <w:tmpl w:val="CE9CF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71DE2"/>
    <w:multiLevelType w:val="multilevel"/>
    <w:tmpl w:val="5EA44796"/>
    <w:lvl w:ilvl="0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3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5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41" w:hanging="1800"/>
      </w:pPr>
      <w:rPr>
        <w:rFonts w:hint="default"/>
      </w:rPr>
    </w:lvl>
  </w:abstractNum>
  <w:abstractNum w:abstractNumId="16" w15:restartNumberingAfterBreak="0">
    <w:nsid w:val="3E1C7E8C"/>
    <w:multiLevelType w:val="hybridMultilevel"/>
    <w:tmpl w:val="D172A058"/>
    <w:lvl w:ilvl="0" w:tplc="EA04479C">
      <w:start w:val="1"/>
      <w:numFmt w:val="bullet"/>
      <w:lvlText w:val="-"/>
      <w:lvlJc w:val="left"/>
      <w:pPr>
        <w:ind w:left="720" w:hanging="360"/>
      </w:pPr>
      <w:rPr>
        <w:rFonts w:ascii="Tempus Sans ITC" w:hAnsi="Tempus Sans ITC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171D7C"/>
    <w:multiLevelType w:val="hybridMultilevel"/>
    <w:tmpl w:val="BEF2C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434C1"/>
    <w:multiLevelType w:val="hybridMultilevel"/>
    <w:tmpl w:val="403823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072BB0"/>
    <w:multiLevelType w:val="hybridMultilevel"/>
    <w:tmpl w:val="5902F96A"/>
    <w:lvl w:ilvl="0" w:tplc="EA04479C">
      <w:start w:val="1"/>
      <w:numFmt w:val="bullet"/>
      <w:lvlText w:val="-"/>
      <w:lvlJc w:val="left"/>
      <w:pPr>
        <w:ind w:left="720" w:hanging="360"/>
      </w:pPr>
      <w:rPr>
        <w:rFonts w:ascii="Tempus Sans ITC" w:hAnsi="Tempus Sans ITC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C97EE5"/>
    <w:multiLevelType w:val="hybridMultilevel"/>
    <w:tmpl w:val="2466A814"/>
    <w:lvl w:ilvl="0" w:tplc="EA04479C">
      <w:start w:val="1"/>
      <w:numFmt w:val="bullet"/>
      <w:lvlText w:val="-"/>
      <w:lvlJc w:val="left"/>
      <w:pPr>
        <w:ind w:left="1287" w:hanging="360"/>
      </w:pPr>
      <w:rPr>
        <w:rFonts w:ascii="Tempus Sans ITC" w:hAnsi="Tempus Sans ITC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30A39DB"/>
    <w:multiLevelType w:val="hybridMultilevel"/>
    <w:tmpl w:val="8AB4C418"/>
    <w:lvl w:ilvl="0" w:tplc="EA04479C">
      <w:start w:val="1"/>
      <w:numFmt w:val="bullet"/>
      <w:lvlText w:val="-"/>
      <w:lvlJc w:val="left"/>
      <w:pPr>
        <w:ind w:left="720" w:hanging="360"/>
      </w:pPr>
      <w:rPr>
        <w:rFonts w:ascii="Tempus Sans ITC" w:hAnsi="Tempus Sans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6B0750"/>
    <w:multiLevelType w:val="hybridMultilevel"/>
    <w:tmpl w:val="6ECE5B26"/>
    <w:lvl w:ilvl="0" w:tplc="EA04479C">
      <w:start w:val="1"/>
      <w:numFmt w:val="bullet"/>
      <w:lvlText w:val="-"/>
      <w:lvlJc w:val="left"/>
      <w:pPr>
        <w:ind w:left="1429" w:hanging="360"/>
      </w:pPr>
      <w:rPr>
        <w:rFonts w:ascii="Tempus Sans ITC" w:hAnsi="Tempus Sans IT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A9511F5"/>
    <w:multiLevelType w:val="hybridMultilevel"/>
    <w:tmpl w:val="7D3ABA64"/>
    <w:lvl w:ilvl="0" w:tplc="407C2AD4">
      <w:start w:val="4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B394350"/>
    <w:multiLevelType w:val="multilevel"/>
    <w:tmpl w:val="BFDE4A68"/>
    <w:lvl w:ilvl="0">
      <w:start w:val="1"/>
      <w:numFmt w:val="decimal"/>
      <w:lvlText w:val="%1."/>
      <w:lvlJc w:val="left"/>
      <w:pPr>
        <w:ind w:left="-8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345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4635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8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725" w:hanging="180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91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455" w:hanging="2160"/>
      </w:pPr>
      <w:rPr>
        <w:rFonts w:ascii="Times New Roman" w:hAnsi="Times New Roman" w:hint="default"/>
      </w:rPr>
    </w:lvl>
  </w:abstractNum>
  <w:abstractNum w:abstractNumId="25" w15:restartNumberingAfterBreak="0">
    <w:nsid w:val="773D1F07"/>
    <w:multiLevelType w:val="multilevel"/>
    <w:tmpl w:val="9E42EC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6" w15:restartNumberingAfterBreak="0">
    <w:nsid w:val="7F9A11C0"/>
    <w:multiLevelType w:val="hybridMultilevel"/>
    <w:tmpl w:val="90A6A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7"/>
  </w:num>
  <w:num w:numId="4">
    <w:abstractNumId w:val="10"/>
  </w:num>
  <w:num w:numId="5">
    <w:abstractNumId w:val="0"/>
  </w:num>
  <w:num w:numId="6">
    <w:abstractNumId w:val="26"/>
  </w:num>
  <w:num w:numId="7">
    <w:abstractNumId w:val="14"/>
  </w:num>
  <w:num w:numId="8">
    <w:abstractNumId w:val="23"/>
  </w:num>
  <w:num w:numId="9">
    <w:abstractNumId w:val="24"/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 w:numId="13">
    <w:abstractNumId w:val="16"/>
  </w:num>
  <w:num w:numId="14">
    <w:abstractNumId w:val="19"/>
  </w:num>
  <w:num w:numId="15">
    <w:abstractNumId w:val="7"/>
  </w:num>
  <w:num w:numId="16">
    <w:abstractNumId w:val="1"/>
  </w:num>
  <w:num w:numId="17">
    <w:abstractNumId w:val="22"/>
  </w:num>
  <w:num w:numId="18">
    <w:abstractNumId w:val="3"/>
  </w:num>
  <w:num w:numId="19">
    <w:abstractNumId w:val="4"/>
  </w:num>
  <w:num w:numId="20">
    <w:abstractNumId w:val="2"/>
  </w:num>
  <w:num w:numId="21">
    <w:abstractNumId w:val="5"/>
  </w:num>
  <w:num w:numId="22">
    <w:abstractNumId w:val="9"/>
  </w:num>
  <w:num w:numId="23">
    <w:abstractNumId w:val="6"/>
  </w:num>
  <w:num w:numId="24">
    <w:abstractNumId w:val="20"/>
  </w:num>
  <w:num w:numId="25">
    <w:abstractNumId w:val="25"/>
  </w:num>
  <w:num w:numId="26">
    <w:abstractNumId w:val="21"/>
  </w:num>
  <w:num w:numId="27">
    <w:abstractNumId w:val="15"/>
  </w:num>
  <w:num w:numId="28">
    <w:abstractNumId w:val="12"/>
    <w:lvlOverride w:ilvl="0">
      <w:startOverride w:val="4"/>
    </w:lvlOverride>
    <w:lvlOverride w:ilvl="1">
      <w:startOverride w:val="2"/>
    </w:lvlOverride>
    <w:lvlOverride w:ilvl="2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82"/>
    <w:rsid w:val="000060B5"/>
    <w:rsid w:val="00032BA3"/>
    <w:rsid w:val="00046182"/>
    <w:rsid w:val="00052101"/>
    <w:rsid w:val="00070B17"/>
    <w:rsid w:val="00070E24"/>
    <w:rsid w:val="00097597"/>
    <w:rsid w:val="000A693B"/>
    <w:rsid w:val="000B5011"/>
    <w:rsid w:val="000E1B59"/>
    <w:rsid w:val="000E7BDC"/>
    <w:rsid w:val="000F53F8"/>
    <w:rsid w:val="00122EED"/>
    <w:rsid w:val="00123886"/>
    <w:rsid w:val="0015032F"/>
    <w:rsid w:val="00165FEA"/>
    <w:rsid w:val="00192295"/>
    <w:rsid w:val="001948B2"/>
    <w:rsid w:val="001A1E6C"/>
    <w:rsid w:val="001A281E"/>
    <w:rsid w:val="001B4165"/>
    <w:rsid w:val="001C14FB"/>
    <w:rsid w:val="001F4818"/>
    <w:rsid w:val="00215910"/>
    <w:rsid w:val="00225A4B"/>
    <w:rsid w:val="00227017"/>
    <w:rsid w:val="00243F1F"/>
    <w:rsid w:val="0024622C"/>
    <w:rsid w:val="00271F56"/>
    <w:rsid w:val="00283AE7"/>
    <w:rsid w:val="002C4382"/>
    <w:rsid w:val="002D32DE"/>
    <w:rsid w:val="002F1036"/>
    <w:rsid w:val="002F1A5E"/>
    <w:rsid w:val="002F3AA3"/>
    <w:rsid w:val="00300B58"/>
    <w:rsid w:val="00304748"/>
    <w:rsid w:val="00307D0D"/>
    <w:rsid w:val="00311F25"/>
    <w:rsid w:val="003406A6"/>
    <w:rsid w:val="00346F59"/>
    <w:rsid w:val="00382909"/>
    <w:rsid w:val="00385FA7"/>
    <w:rsid w:val="003869E8"/>
    <w:rsid w:val="003A11A9"/>
    <w:rsid w:val="003B0DC2"/>
    <w:rsid w:val="003B4E4B"/>
    <w:rsid w:val="003C64E9"/>
    <w:rsid w:val="003D164B"/>
    <w:rsid w:val="003D384F"/>
    <w:rsid w:val="003E660A"/>
    <w:rsid w:val="0040727B"/>
    <w:rsid w:val="00407C89"/>
    <w:rsid w:val="00467AB3"/>
    <w:rsid w:val="004A2CB2"/>
    <w:rsid w:val="004B42CD"/>
    <w:rsid w:val="004C7E03"/>
    <w:rsid w:val="004D6487"/>
    <w:rsid w:val="004F6823"/>
    <w:rsid w:val="004F73FC"/>
    <w:rsid w:val="00504186"/>
    <w:rsid w:val="00551BDF"/>
    <w:rsid w:val="00556855"/>
    <w:rsid w:val="00580436"/>
    <w:rsid w:val="00582F33"/>
    <w:rsid w:val="005D0CAD"/>
    <w:rsid w:val="005D637D"/>
    <w:rsid w:val="005E46AA"/>
    <w:rsid w:val="005F67FB"/>
    <w:rsid w:val="006064D1"/>
    <w:rsid w:val="00625DA5"/>
    <w:rsid w:val="00627D7B"/>
    <w:rsid w:val="00643534"/>
    <w:rsid w:val="00654442"/>
    <w:rsid w:val="00655D65"/>
    <w:rsid w:val="006D65EA"/>
    <w:rsid w:val="006D7BFF"/>
    <w:rsid w:val="006E2BA3"/>
    <w:rsid w:val="007178A7"/>
    <w:rsid w:val="007247B8"/>
    <w:rsid w:val="007459F1"/>
    <w:rsid w:val="00761C46"/>
    <w:rsid w:val="00763786"/>
    <w:rsid w:val="00765AA2"/>
    <w:rsid w:val="007B434E"/>
    <w:rsid w:val="007C631F"/>
    <w:rsid w:val="007D75ED"/>
    <w:rsid w:val="008363FA"/>
    <w:rsid w:val="00851B87"/>
    <w:rsid w:val="00855314"/>
    <w:rsid w:val="008561D5"/>
    <w:rsid w:val="00860427"/>
    <w:rsid w:val="0086655B"/>
    <w:rsid w:val="00867B6A"/>
    <w:rsid w:val="00884AAC"/>
    <w:rsid w:val="008A5A18"/>
    <w:rsid w:val="008C4E04"/>
    <w:rsid w:val="008F1EAF"/>
    <w:rsid w:val="008F31D5"/>
    <w:rsid w:val="008F646B"/>
    <w:rsid w:val="00901E18"/>
    <w:rsid w:val="00907FB9"/>
    <w:rsid w:val="009336DE"/>
    <w:rsid w:val="009426B9"/>
    <w:rsid w:val="00946643"/>
    <w:rsid w:val="00954CE2"/>
    <w:rsid w:val="00964B11"/>
    <w:rsid w:val="0097246B"/>
    <w:rsid w:val="0097641C"/>
    <w:rsid w:val="00987F88"/>
    <w:rsid w:val="00991434"/>
    <w:rsid w:val="009A6144"/>
    <w:rsid w:val="009B337D"/>
    <w:rsid w:val="009B44BA"/>
    <w:rsid w:val="009D5C96"/>
    <w:rsid w:val="009E3F8C"/>
    <w:rsid w:val="00A01712"/>
    <w:rsid w:val="00A1288C"/>
    <w:rsid w:val="00A27BF3"/>
    <w:rsid w:val="00A610AA"/>
    <w:rsid w:val="00A700DB"/>
    <w:rsid w:val="00AA5960"/>
    <w:rsid w:val="00AB093B"/>
    <w:rsid w:val="00AB5E8F"/>
    <w:rsid w:val="00AC1FC9"/>
    <w:rsid w:val="00AC7552"/>
    <w:rsid w:val="00AD22D6"/>
    <w:rsid w:val="00AE3CA9"/>
    <w:rsid w:val="00AF31D1"/>
    <w:rsid w:val="00AF7225"/>
    <w:rsid w:val="00B029CB"/>
    <w:rsid w:val="00B26244"/>
    <w:rsid w:val="00B433EC"/>
    <w:rsid w:val="00B61527"/>
    <w:rsid w:val="00B677DE"/>
    <w:rsid w:val="00B9518F"/>
    <w:rsid w:val="00BA329F"/>
    <w:rsid w:val="00BD1216"/>
    <w:rsid w:val="00BD6634"/>
    <w:rsid w:val="00BE1DC1"/>
    <w:rsid w:val="00C1163A"/>
    <w:rsid w:val="00C12E77"/>
    <w:rsid w:val="00C27FDC"/>
    <w:rsid w:val="00C703BA"/>
    <w:rsid w:val="00C76D97"/>
    <w:rsid w:val="00CA015D"/>
    <w:rsid w:val="00CC32BB"/>
    <w:rsid w:val="00CC3D79"/>
    <w:rsid w:val="00CD6C19"/>
    <w:rsid w:val="00D01613"/>
    <w:rsid w:val="00D02C31"/>
    <w:rsid w:val="00D13FF3"/>
    <w:rsid w:val="00D22B90"/>
    <w:rsid w:val="00D2517C"/>
    <w:rsid w:val="00D26355"/>
    <w:rsid w:val="00D36A98"/>
    <w:rsid w:val="00D6182E"/>
    <w:rsid w:val="00DA2393"/>
    <w:rsid w:val="00DA26B3"/>
    <w:rsid w:val="00DC41CA"/>
    <w:rsid w:val="00DD6493"/>
    <w:rsid w:val="00DF2C04"/>
    <w:rsid w:val="00E12417"/>
    <w:rsid w:val="00E13736"/>
    <w:rsid w:val="00E2323A"/>
    <w:rsid w:val="00E300F2"/>
    <w:rsid w:val="00E422F1"/>
    <w:rsid w:val="00E65153"/>
    <w:rsid w:val="00E80FD1"/>
    <w:rsid w:val="00EB303E"/>
    <w:rsid w:val="00EB4936"/>
    <w:rsid w:val="00EC6F53"/>
    <w:rsid w:val="00EE5FD5"/>
    <w:rsid w:val="00EF5971"/>
    <w:rsid w:val="00F0111F"/>
    <w:rsid w:val="00F036D0"/>
    <w:rsid w:val="00F0526B"/>
    <w:rsid w:val="00F25FA5"/>
    <w:rsid w:val="00F447F4"/>
    <w:rsid w:val="00F50F12"/>
    <w:rsid w:val="00F62172"/>
    <w:rsid w:val="00F62463"/>
    <w:rsid w:val="00F64B3A"/>
    <w:rsid w:val="00FA43DB"/>
    <w:rsid w:val="00FF3683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E89FD"/>
  <w15:docId w15:val="{3345B368-D08C-438B-AFA8-618EB5BE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393"/>
  </w:style>
  <w:style w:type="paragraph" w:styleId="1">
    <w:name w:val="heading 1"/>
    <w:basedOn w:val="a"/>
    <w:next w:val="a"/>
    <w:link w:val="10"/>
    <w:uiPriority w:val="9"/>
    <w:qFormat/>
    <w:rsid w:val="00DA23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H2,H2 Знак,h2,heading 2,Heading 2 Hidden,Подраздел,Раздел,Numbered text 3,2,Reset numbering,2 headline,h,headline,(подраздел),CHS,H2-Heading 2,l2,Header2,22,heading2,list2,A,A.B.C.,list 2,Heading2,Heading Indent No L2,UNDERRUBRIK 1-2"/>
    <w:basedOn w:val="a"/>
    <w:next w:val="a"/>
    <w:link w:val="20"/>
    <w:uiPriority w:val="9"/>
    <w:semiHidden/>
    <w:unhideWhenUsed/>
    <w:qFormat/>
    <w:rsid w:val="00DA23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aliases w:val="H3"/>
    <w:basedOn w:val="a"/>
    <w:next w:val="a"/>
    <w:link w:val="30"/>
    <w:uiPriority w:val="9"/>
    <w:semiHidden/>
    <w:unhideWhenUsed/>
    <w:qFormat/>
    <w:rsid w:val="00DA23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aliases w:val="Заголовок 4 (Приложение)"/>
    <w:basedOn w:val="a"/>
    <w:next w:val="a"/>
    <w:link w:val="40"/>
    <w:uiPriority w:val="9"/>
    <w:semiHidden/>
    <w:unhideWhenUsed/>
    <w:qFormat/>
    <w:rsid w:val="00DA23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3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39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39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39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39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C4382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2F1A5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A281E"/>
    <w:pPr>
      <w:spacing w:before="100" w:beforeAutospacing="1" w:after="100" w:afterAutospacing="1"/>
    </w:pPr>
    <w:rPr>
      <w:lang w:eastAsia="ru-RU"/>
    </w:rPr>
  </w:style>
  <w:style w:type="paragraph" w:styleId="21">
    <w:name w:val="List 2"/>
    <w:basedOn w:val="a"/>
    <w:uiPriority w:val="99"/>
    <w:unhideWhenUsed/>
    <w:rsid w:val="00AA5960"/>
    <w:pPr>
      <w:autoSpaceDN w:val="0"/>
      <w:spacing w:after="120"/>
      <w:ind w:left="566" w:hanging="283"/>
    </w:pPr>
    <w:rPr>
      <w:rFonts w:eastAsia="Calibri"/>
      <w:kern w:val="3"/>
      <w:sz w:val="20"/>
      <w:szCs w:val="20"/>
      <w:lang w:eastAsia="ru-RU"/>
    </w:rPr>
  </w:style>
  <w:style w:type="table" w:styleId="a6">
    <w:name w:val="Table Grid"/>
    <w:basedOn w:val="a1"/>
    <w:rsid w:val="00855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DA2393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ConsNormal">
    <w:name w:val="ConsNormal"/>
    <w:link w:val="ConsNormal0"/>
    <w:rsid w:val="008A5A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8A5A18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DA2393"/>
    <w:rPr>
      <w:i/>
      <w:iCs/>
      <w:color w:val="auto"/>
    </w:rPr>
  </w:style>
  <w:style w:type="paragraph" w:styleId="a8">
    <w:name w:val="header"/>
    <w:basedOn w:val="a"/>
    <w:link w:val="a9"/>
    <w:uiPriority w:val="99"/>
    <w:unhideWhenUsed/>
    <w:rsid w:val="008F64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F646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8F64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F646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c">
    <w:name w:val="Знак"/>
    <w:basedOn w:val="a"/>
    <w:rsid w:val="008F31D5"/>
    <w:pPr>
      <w:widowControl w:val="0"/>
      <w:adjustRightInd w:val="0"/>
      <w:spacing w:line="240" w:lineRule="exact"/>
      <w:jc w:val="right"/>
    </w:pPr>
    <w:rPr>
      <w:sz w:val="20"/>
      <w:szCs w:val="20"/>
      <w:lang w:val="en-GB"/>
    </w:rPr>
  </w:style>
  <w:style w:type="character" w:customStyle="1" w:styleId="FontStyle15">
    <w:name w:val="Font Style15"/>
    <w:rsid w:val="008F31D5"/>
    <w:rPr>
      <w:rFonts w:ascii="Courier New" w:hAnsi="Courier New" w:cs="Courier New"/>
      <w:color w:val="000000"/>
      <w:sz w:val="18"/>
      <w:szCs w:val="18"/>
    </w:rPr>
  </w:style>
  <w:style w:type="character" w:customStyle="1" w:styleId="blk">
    <w:name w:val="blk"/>
    <w:basedOn w:val="a0"/>
    <w:rsid w:val="008F31D5"/>
  </w:style>
  <w:style w:type="character" w:customStyle="1" w:styleId="20">
    <w:name w:val="Заголовок 2 Знак"/>
    <w:basedOn w:val="a0"/>
    <w:link w:val="2"/>
    <w:uiPriority w:val="9"/>
    <w:semiHidden/>
    <w:rsid w:val="00DA239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A239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A239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a4">
    <w:name w:val="Абзац списка Знак"/>
    <w:link w:val="a3"/>
    <w:uiPriority w:val="34"/>
    <w:locked/>
    <w:rsid w:val="00C703BA"/>
  </w:style>
  <w:style w:type="character" w:styleId="ad">
    <w:name w:val="annotation reference"/>
    <w:uiPriority w:val="99"/>
    <w:rsid w:val="00C703BA"/>
    <w:rPr>
      <w:rFonts w:ascii="Arial" w:hAnsi="Arial" w:cs="Times New Roman"/>
      <w:sz w:val="16"/>
    </w:rPr>
  </w:style>
  <w:style w:type="paragraph" w:styleId="ae">
    <w:name w:val="Body Text"/>
    <w:basedOn w:val="a"/>
    <w:link w:val="af"/>
    <w:uiPriority w:val="99"/>
    <w:rsid w:val="00C703BA"/>
    <w:pPr>
      <w:spacing w:before="120" w:after="120"/>
      <w:ind w:firstLine="567"/>
      <w:jc w:val="both"/>
    </w:pPr>
    <w:rPr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C703BA"/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Абзац списка1"/>
    <w:basedOn w:val="a"/>
    <w:uiPriority w:val="99"/>
    <w:rsid w:val="00C703BA"/>
    <w:pPr>
      <w:ind w:left="720"/>
      <w:jc w:val="both"/>
    </w:pPr>
    <w:rPr>
      <w:lang w:eastAsia="ru-RU"/>
    </w:rPr>
  </w:style>
  <w:style w:type="paragraph" w:customStyle="1" w:styleId="Default">
    <w:name w:val="Default"/>
    <w:rsid w:val="00C703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Block Text"/>
    <w:basedOn w:val="a"/>
    <w:semiHidden/>
    <w:unhideWhenUsed/>
    <w:rsid w:val="00C703BA"/>
    <w:pPr>
      <w:ind w:left="-567" w:right="-766" w:firstLine="851"/>
      <w:jc w:val="both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23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semiHidden/>
    <w:rsid w:val="00DA2393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DA2393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DA2393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DA239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1">
    <w:name w:val="caption"/>
    <w:basedOn w:val="a"/>
    <w:next w:val="a"/>
    <w:uiPriority w:val="35"/>
    <w:semiHidden/>
    <w:unhideWhenUsed/>
    <w:qFormat/>
    <w:rsid w:val="00DA239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DA23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3">
    <w:name w:val="Заголовок Знак"/>
    <w:basedOn w:val="a0"/>
    <w:link w:val="af2"/>
    <w:uiPriority w:val="10"/>
    <w:rsid w:val="00DA239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rsid w:val="00DA239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DA2393"/>
    <w:rPr>
      <w:color w:val="5A5A5A" w:themeColor="text1" w:themeTint="A5"/>
      <w:spacing w:val="15"/>
    </w:rPr>
  </w:style>
  <w:style w:type="character" w:styleId="af6">
    <w:name w:val="Strong"/>
    <w:basedOn w:val="a0"/>
    <w:uiPriority w:val="22"/>
    <w:qFormat/>
    <w:rsid w:val="00DA2393"/>
    <w:rPr>
      <w:b/>
      <w:bCs/>
      <w:color w:val="auto"/>
    </w:rPr>
  </w:style>
  <w:style w:type="paragraph" w:styleId="af7">
    <w:name w:val="No Spacing"/>
    <w:uiPriority w:val="1"/>
    <w:qFormat/>
    <w:rsid w:val="00DA2393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DA239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DA2393"/>
    <w:rPr>
      <w:i/>
      <w:iCs/>
      <w:color w:val="404040" w:themeColor="text1" w:themeTint="BF"/>
    </w:rPr>
  </w:style>
  <w:style w:type="paragraph" w:styleId="af8">
    <w:name w:val="Intense Quote"/>
    <w:basedOn w:val="a"/>
    <w:next w:val="a"/>
    <w:link w:val="af9"/>
    <w:uiPriority w:val="30"/>
    <w:qFormat/>
    <w:rsid w:val="00DA239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DA2393"/>
    <w:rPr>
      <w:i/>
      <w:iCs/>
      <w:color w:val="4F81BD" w:themeColor="accent1"/>
    </w:rPr>
  </w:style>
  <w:style w:type="character" w:styleId="afa">
    <w:name w:val="Subtle Emphasis"/>
    <w:basedOn w:val="a0"/>
    <w:uiPriority w:val="19"/>
    <w:qFormat/>
    <w:rsid w:val="00DA2393"/>
    <w:rPr>
      <w:i/>
      <w:iCs/>
      <w:color w:val="404040" w:themeColor="text1" w:themeTint="BF"/>
    </w:rPr>
  </w:style>
  <w:style w:type="character" w:styleId="afb">
    <w:name w:val="Intense Emphasis"/>
    <w:basedOn w:val="a0"/>
    <w:uiPriority w:val="21"/>
    <w:qFormat/>
    <w:rsid w:val="00DA2393"/>
    <w:rPr>
      <w:i/>
      <w:iCs/>
      <w:color w:val="4F81BD" w:themeColor="accent1"/>
    </w:rPr>
  </w:style>
  <w:style w:type="character" w:styleId="afc">
    <w:name w:val="Subtle Reference"/>
    <w:basedOn w:val="a0"/>
    <w:uiPriority w:val="31"/>
    <w:qFormat/>
    <w:rsid w:val="00DA2393"/>
    <w:rPr>
      <w:smallCaps/>
      <w:color w:val="404040" w:themeColor="text1" w:themeTint="BF"/>
    </w:rPr>
  </w:style>
  <w:style w:type="character" w:styleId="afd">
    <w:name w:val="Intense Reference"/>
    <w:basedOn w:val="a0"/>
    <w:uiPriority w:val="32"/>
    <w:qFormat/>
    <w:rsid w:val="00DA2393"/>
    <w:rPr>
      <w:b/>
      <w:bCs/>
      <w:smallCaps/>
      <w:color w:val="4F81BD" w:themeColor="accent1"/>
      <w:spacing w:val="5"/>
    </w:rPr>
  </w:style>
  <w:style w:type="character" w:styleId="afe">
    <w:name w:val="Book Title"/>
    <w:basedOn w:val="a0"/>
    <w:uiPriority w:val="33"/>
    <w:qFormat/>
    <w:rsid w:val="00DA2393"/>
    <w:rPr>
      <w:b/>
      <w:bCs/>
      <w:i/>
      <w:iCs/>
      <w:spacing w:val="5"/>
    </w:rPr>
  </w:style>
  <w:style w:type="paragraph" w:styleId="aff">
    <w:name w:val="TOC Heading"/>
    <w:basedOn w:val="1"/>
    <w:next w:val="a"/>
    <w:uiPriority w:val="39"/>
    <w:semiHidden/>
    <w:unhideWhenUsed/>
    <w:qFormat/>
    <w:rsid w:val="00DA239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0991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081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471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3978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5304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0558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178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617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183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0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0415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1AECD-2499-4208-980C-05487211E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3491</Words>
  <Characters>19901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171</cp:revision>
  <cp:lastPrinted>2023-01-24T05:24:00Z</cp:lastPrinted>
  <dcterms:created xsi:type="dcterms:W3CDTF">2021-07-23T10:17:00Z</dcterms:created>
  <dcterms:modified xsi:type="dcterms:W3CDTF">2024-04-04T11:35:00Z</dcterms:modified>
</cp:coreProperties>
</file>