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6A" w:rsidRPr="000F29C4" w:rsidRDefault="00846AE9" w:rsidP="00846AE9">
      <w:pPr>
        <w:ind w:firstLine="54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4040E1" w:rsidRPr="00852FA0">
        <w:rPr>
          <w:sz w:val="20"/>
          <w:szCs w:val="20"/>
        </w:rPr>
        <w:t xml:space="preserve"> </w:t>
      </w:r>
      <w:r w:rsidR="00BE296A" w:rsidRPr="000F29C4">
        <w:rPr>
          <w:b/>
          <w:sz w:val="20"/>
          <w:szCs w:val="20"/>
        </w:rPr>
        <w:t>ИЗВЕЩЕНИЕ</w:t>
      </w:r>
    </w:p>
    <w:p w:rsidR="00CA7DD8" w:rsidRDefault="00CA7DD8" w:rsidP="00455B94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проведени</w:t>
      </w:r>
      <w:r w:rsidR="00846AE9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 xml:space="preserve"> запроса котировок</w:t>
      </w:r>
      <w:r w:rsidR="00846AE9">
        <w:rPr>
          <w:b/>
          <w:sz w:val="22"/>
          <w:szCs w:val="22"/>
        </w:rPr>
        <w:t xml:space="preserve"> на право заключения договора</w:t>
      </w:r>
    </w:p>
    <w:p w:rsidR="00455B94" w:rsidRPr="00686472" w:rsidRDefault="00846AE9" w:rsidP="00455B94">
      <w:pPr>
        <w:jc w:val="center"/>
      </w:pPr>
      <w:r>
        <w:rPr>
          <w:b/>
          <w:bCs/>
          <w:sz w:val="22"/>
          <w:szCs w:val="22"/>
        </w:rPr>
        <w:t xml:space="preserve">поставки </w:t>
      </w:r>
      <w:r w:rsidR="00455B94" w:rsidRPr="00455B94">
        <w:rPr>
          <w:b/>
          <w:sz w:val="22"/>
          <w:szCs w:val="22"/>
        </w:rPr>
        <w:t>реагентов и расходных материалов для клинико-диагностической лаборатории</w:t>
      </w:r>
    </w:p>
    <w:p w:rsidR="00BE296A" w:rsidRPr="0064388D" w:rsidRDefault="00846AE9" w:rsidP="00455B94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4388D">
        <w:rPr>
          <w:rFonts w:ascii="Times New Roman" w:hAnsi="Times New Roman" w:cs="Times New Roman"/>
          <w:b/>
          <w:bCs/>
          <w:sz w:val="22"/>
          <w:szCs w:val="22"/>
        </w:rPr>
        <w:t>для нужд</w:t>
      </w:r>
      <w:r w:rsidR="002B39E8" w:rsidRPr="006438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A54F0" w:rsidRPr="0064388D">
        <w:rPr>
          <w:rFonts w:ascii="Times New Roman" w:hAnsi="Times New Roman" w:cs="Times New Roman"/>
          <w:b/>
          <w:bCs/>
          <w:sz w:val="22"/>
          <w:szCs w:val="22"/>
        </w:rPr>
        <w:t xml:space="preserve">ЧУЗ «РЖД - Медицина» </w:t>
      </w:r>
      <w:proofErr w:type="gramStart"/>
      <w:r w:rsidR="008A54F0" w:rsidRPr="0064388D">
        <w:rPr>
          <w:rFonts w:ascii="Times New Roman" w:hAnsi="Times New Roman" w:cs="Times New Roman"/>
          <w:b/>
          <w:bCs/>
          <w:sz w:val="22"/>
          <w:szCs w:val="22"/>
        </w:rPr>
        <w:t>г</w:t>
      </w:r>
      <w:proofErr w:type="gramEnd"/>
      <w:r w:rsidR="008A54F0" w:rsidRPr="0064388D">
        <w:rPr>
          <w:rFonts w:ascii="Times New Roman" w:hAnsi="Times New Roman" w:cs="Times New Roman"/>
          <w:b/>
          <w:bCs/>
          <w:sz w:val="22"/>
          <w:szCs w:val="22"/>
        </w:rPr>
        <w:t>. Вологда</w:t>
      </w:r>
      <w:r w:rsidR="00E95489" w:rsidRPr="0064388D">
        <w:rPr>
          <w:rFonts w:ascii="Times New Roman" w:hAnsi="Times New Roman" w:cs="Times New Roman"/>
          <w:b/>
          <w:sz w:val="22"/>
          <w:szCs w:val="22"/>
        </w:rPr>
        <w:t>»</w:t>
      </w:r>
      <w:r w:rsidR="00FE1707" w:rsidRPr="0064388D">
        <w:rPr>
          <w:rFonts w:ascii="Times New Roman" w:hAnsi="Times New Roman" w:cs="Times New Roman"/>
          <w:b/>
          <w:sz w:val="22"/>
          <w:szCs w:val="22"/>
        </w:rPr>
        <w:t xml:space="preserve"> от 10.01.2020 года</w:t>
      </w:r>
    </w:p>
    <w:p w:rsidR="00852FA0" w:rsidRPr="0064388D" w:rsidRDefault="00CF7FE2" w:rsidP="00852FA0">
      <w:pPr>
        <w:pStyle w:val="ConsPlusNormal0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4388D">
        <w:rPr>
          <w:rFonts w:ascii="Times New Roman" w:hAnsi="Times New Roman" w:cs="Times New Roman"/>
          <w:snapToGrid w:val="0"/>
          <w:sz w:val="22"/>
          <w:szCs w:val="22"/>
        </w:rPr>
        <w:t xml:space="preserve">                                           </w:t>
      </w:r>
    </w:p>
    <w:p w:rsidR="00FE1707" w:rsidRPr="0064388D" w:rsidRDefault="00F12D37" w:rsidP="00FE1707">
      <w:pPr>
        <w:pStyle w:val="Style3"/>
        <w:widowControl/>
        <w:spacing w:line="240" w:lineRule="auto"/>
        <w:ind w:right="265"/>
        <w:jc w:val="both"/>
        <w:rPr>
          <w:bCs/>
          <w:i/>
        </w:rPr>
      </w:pPr>
      <w:r w:rsidRPr="008A54F0">
        <w:rPr>
          <w:b/>
          <w:sz w:val="22"/>
          <w:szCs w:val="22"/>
        </w:rPr>
        <w:t>Заказчик:</w:t>
      </w:r>
      <w:r w:rsidR="000F29C4" w:rsidRPr="000F29C4">
        <w:rPr>
          <w:b/>
          <w:sz w:val="22"/>
          <w:szCs w:val="22"/>
        </w:rPr>
        <w:t xml:space="preserve"> </w:t>
      </w:r>
      <w:r w:rsidRPr="000F29C4">
        <w:rPr>
          <w:sz w:val="22"/>
          <w:szCs w:val="22"/>
        </w:rPr>
        <w:t xml:space="preserve"> </w:t>
      </w:r>
      <w:r w:rsidR="00FE1707" w:rsidRPr="0064388D">
        <w:rPr>
          <w:rStyle w:val="FontStyle14"/>
          <w:rFonts w:ascii="Times New Roman" w:hAnsi="Times New Roman" w:cs="Times New Roman"/>
          <w:i w:val="0"/>
          <w:sz w:val="24"/>
          <w:szCs w:val="24"/>
        </w:rPr>
        <w:t>Частное Учреждение Здравоохранения «Больница «РЖД - Медицина город</w:t>
      </w:r>
      <w:r w:rsidR="00FE1707" w:rsidRPr="0064388D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FE1707" w:rsidRPr="0064388D">
        <w:rPr>
          <w:rStyle w:val="FontStyle14"/>
          <w:rFonts w:ascii="Times New Roman" w:hAnsi="Times New Roman" w:cs="Times New Roman"/>
          <w:i w:val="0"/>
          <w:sz w:val="24"/>
          <w:szCs w:val="24"/>
        </w:rPr>
        <w:t>Вологда»</w:t>
      </w:r>
      <w:r w:rsidR="00FE1707" w:rsidRPr="0064388D">
        <w:t>;</w:t>
      </w:r>
      <w:r w:rsidR="0064388D" w:rsidRPr="0064388D">
        <w:t xml:space="preserve"> </w:t>
      </w:r>
      <w:r w:rsidR="00FE1707" w:rsidRPr="0064388D">
        <w:t xml:space="preserve">сокращенное официальное наименование Учреждения: ЧУЗ </w:t>
      </w:r>
      <w:r w:rsidR="00FE1707" w:rsidRPr="0064388D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«РЖД - Медицина </w:t>
      </w:r>
      <w:proofErr w:type="gramStart"/>
      <w:r w:rsidR="00FE1707" w:rsidRPr="0064388D">
        <w:rPr>
          <w:rStyle w:val="FontStyle14"/>
          <w:rFonts w:ascii="Times New Roman" w:hAnsi="Times New Roman" w:cs="Times New Roman"/>
          <w:i w:val="0"/>
          <w:sz w:val="24"/>
          <w:szCs w:val="24"/>
        </w:rPr>
        <w:t>г</w:t>
      </w:r>
      <w:proofErr w:type="gramEnd"/>
      <w:r w:rsidR="00FE1707" w:rsidRPr="0064388D">
        <w:rPr>
          <w:rStyle w:val="FontStyle14"/>
          <w:rFonts w:ascii="Times New Roman" w:hAnsi="Times New Roman" w:cs="Times New Roman"/>
          <w:i w:val="0"/>
          <w:sz w:val="24"/>
          <w:szCs w:val="24"/>
        </w:rPr>
        <w:t>. Вологда»</w:t>
      </w:r>
    </w:p>
    <w:p w:rsidR="00FE1707" w:rsidRDefault="00FE1707" w:rsidP="00FE1707">
      <w:pPr>
        <w:jc w:val="both"/>
        <w:rPr>
          <w:b/>
          <w:bCs/>
          <w:sz w:val="22"/>
          <w:szCs w:val="22"/>
        </w:rPr>
      </w:pPr>
    </w:p>
    <w:p w:rsidR="000F29C4" w:rsidRPr="000F29C4" w:rsidRDefault="000F29C4" w:rsidP="000F29C4">
      <w:pPr>
        <w:rPr>
          <w:bCs/>
          <w:sz w:val="22"/>
          <w:szCs w:val="22"/>
        </w:rPr>
      </w:pPr>
      <w:proofErr w:type="gramStart"/>
      <w:r w:rsidRPr="000F29C4">
        <w:rPr>
          <w:b/>
          <w:bCs/>
          <w:sz w:val="22"/>
          <w:szCs w:val="22"/>
        </w:rPr>
        <w:t xml:space="preserve">Место нахождения заказчика: </w:t>
      </w:r>
      <w:r w:rsidR="009272BD">
        <w:rPr>
          <w:sz w:val="22"/>
          <w:szCs w:val="22"/>
        </w:rPr>
        <w:t>160009</w:t>
      </w:r>
      <w:r w:rsidR="009272BD">
        <w:rPr>
          <w:i/>
          <w:sz w:val="22"/>
          <w:szCs w:val="22"/>
        </w:rPr>
        <w:t>,</w:t>
      </w:r>
      <w:r w:rsidR="009272BD">
        <w:rPr>
          <w:sz w:val="22"/>
          <w:szCs w:val="22"/>
        </w:rPr>
        <w:t xml:space="preserve"> Россия, г. Вологда, ул. Челюскинцев, д. 48</w:t>
      </w:r>
      <w:proofErr w:type="gramEnd"/>
    </w:p>
    <w:p w:rsidR="000F29C4" w:rsidRPr="000F29C4" w:rsidRDefault="000F29C4" w:rsidP="000F29C4">
      <w:pPr>
        <w:rPr>
          <w:bCs/>
          <w:i/>
          <w:sz w:val="22"/>
          <w:szCs w:val="22"/>
        </w:rPr>
      </w:pPr>
      <w:proofErr w:type="gramStart"/>
      <w:r w:rsidRPr="000F29C4">
        <w:rPr>
          <w:b/>
          <w:bCs/>
          <w:sz w:val="22"/>
          <w:szCs w:val="22"/>
        </w:rPr>
        <w:t xml:space="preserve">Почтовый адрес заказчика: </w:t>
      </w:r>
      <w:r w:rsidR="009272BD">
        <w:rPr>
          <w:sz w:val="22"/>
          <w:szCs w:val="22"/>
        </w:rPr>
        <w:t>160009</w:t>
      </w:r>
      <w:r w:rsidR="009272BD">
        <w:rPr>
          <w:i/>
          <w:sz w:val="22"/>
          <w:szCs w:val="22"/>
        </w:rPr>
        <w:t>,</w:t>
      </w:r>
      <w:r w:rsidR="009272BD">
        <w:rPr>
          <w:sz w:val="22"/>
          <w:szCs w:val="22"/>
        </w:rPr>
        <w:t xml:space="preserve"> Россия, г. Вологда, ул. Челюскинцев, д. 48</w:t>
      </w:r>
      <w:proofErr w:type="gramEnd"/>
    </w:p>
    <w:p w:rsidR="00F82B70" w:rsidRDefault="00F82B70" w:rsidP="000F29C4">
      <w:pPr>
        <w:rPr>
          <w:b/>
          <w:bCs/>
          <w:sz w:val="22"/>
          <w:szCs w:val="22"/>
        </w:rPr>
      </w:pPr>
    </w:p>
    <w:p w:rsidR="000F29C4" w:rsidRPr="000F29C4" w:rsidRDefault="000F29C4" w:rsidP="000F29C4">
      <w:pPr>
        <w:rPr>
          <w:b/>
          <w:bCs/>
          <w:sz w:val="22"/>
          <w:szCs w:val="22"/>
        </w:rPr>
      </w:pPr>
      <w:r w:rsidRPr="000F29C4">
        <w:rPr>
          <w:b/>
          <w:bCs/>
          <w:sz w:val="22"/>
          <w:szCs w:val="22"/>
        </w:rPr>
        <w:t>Контактные данные:</w:t>
      </w:r>
    </w:p>
    <w:p w:rsidR="000F29C4" w:rsidRDefault="000F29C4" w:rsidP="000F29C4">
      <w:pPr>
        <w:rPr>
          <w:bCs/>
          <w:sz w:val="22"/>
          <w:szCs w:val="22"/>
        </w:rPr>
      </w:pPr>
      <w:r w:rsidRPr="000F29C4">
        <w:rPr>
          <w:b/>
          <w:bCs/>
          <w:sz w:val="22"/>
          <w:szCs w:val="22"/>
        </w:rPr>
        <w:t>Контактные лица:</w:t>
      </w:r>
      <w:r w:rsidRPr="000F29C4">
        <w:rPr>
          <w:bCs/>
          <w:i/>
          <w:sz w:val="22"/>
          <w:szCs w:val="22"/>
        </w:rPr>
        <w:t xml:space="preserve"> </w:t>
      </w:r>
      <w:r w:rsidR="00455B94">
        <w:rPr>
          <w:bCs/>
          <w:sz w:val="22"/>
          <w:szCs w:val="22"/>
        </w:rPr>
        <w:t>Баева Наталия Афанасьевна</w:t>
      </w:r>
    </w:p>
    <w:p w:rsidR="000F29C4" w:rsidRPr="00455B94" w:rsidRDefault="000F29C4" w:rsidP="000F29C4">
      <w:pPr>
        <w:rPr>
          <w:bCs/>
          <w:sz w:val="22"/>
          <w:szCs w:val="22"/>
        </w:rPr>
      </w:pPr>
      <w:r w:rsidRPr="000F29C4">
        <w:rPr>
          <w:b/>
          <w:bCs/>
          <w:sz w:val="22"/>
          <w:szCs w:val="22"/>
        </w:rPr>
        <w:t>Адреса электронной почты</w:t>
      </w:r>
      <w:r w:rsidR="00455B94">
        <w:rPr>
          <w:b/>
          <w:bCs/>
          <w:color w:val="FF0000"/>
          <w:sz w:val="22"/>
          <w:szCs w:val="22"/>
        </w:rPr>
        <w:t xml:space="preserve"> </w:t>
      </w:r>
      <w:r w:rsidR="00455B94" w:rsidRPr="00455B94">
        <w:rPr>
          <w:rStyle w:val="x-phmenubutton"/>
          <w:iCs/>
          <w:sz w:val="22"/>
          <w:szCs w:val="22"/>
        </w:rPr>
        <w:t>8172215342nuz-vologda@mail.ru</w:t>
      </w:r>
    </w:p>
    <w:p w:rsidR="009272BD" w:rsidRPr="00455B94" w:rsidRDefault="000F29C4" w:rsidP="009272BD">
      <w:pPr>
        <w:rPr>
          <w:spacing w:val="-1"/>
          <w:sz w:val="22"/>
          <w:szCs w:val="22"/>
        </w:rPr>
      </w:pPr>
      <w:r w:rsidRPr="000F29C4">
        <w:rPr>
          <w:b/>
          <w:bCs/>
          <w:sz w:val="22"/>
          <w:szCs w:val="22"/>
        </w:rPr>
        <w:t>Номера телефонов</w:t>
      </w:r>
      <w:r w:rsidR="009272BD">
        <w:rPr>
          <w:b/>
          <w:bCs/>
          <w:sz w:val="22"/>
          <w:szCs w:val="22"/>
        </w:rPr>
        <w:t xml:space="preserve"> </w:t>
      </w:r>
      <w:r w:rsidR="009272BD" w:rsidRPr="00455B94">
        <w:rPr>
          <w:spacing w:val="-1"/>
          <w:sz w:val="22"/>
          <w:szCs w:val="22"/>
        </w:rPr>
        <w:t>8 (8172) 79-22-27, 79-63-23</w:t>
      </w:r>
    </w:p>
    <w:p w:rsidR="000F29C4" w:rsidRPr="00455B94" w:rsidRDefault="000F29C4" w:rsidP="009272BD">
      <w:pPr>
        <w:rPr>
          <w:snapToGrid w:val="0"/>
          <w:sz w:val="22"/>
          <w:szCs w:val="22"/>
        </w:rPr>
      </w:pPr>
      <w:r w:rsidRPr="00455B94">
        <w:rPr>
          <w:bCs/>
          <w:sz w:val="22"/>
          <w:szCs w:val="22"/>
        </w:rPr>
        <w:t xml:space="preserve">Номер факса: </w:t>
      </w:r>
      <w:r w:rsidR="009272BD" w:rsidRPr="00455B94">
        <w:rPr>
          <w:spacing w:val="-1"/>
          <w:sz w:val="22"/>
          <w:szCs w:val="22"/>
        </w:rPr>
        <w:t>8 (8172) 79-22-27</w:t>
      </w:r>
      <w:r w:rsidR="00430294" w:rsidRPr="00455B94">
        <w:rPr>
          <w:snapToGrid w:val="0"/>
          <w:sz w:val="22"/>
          <w:szCs w:val="22"/>
        </w:rPr>
        <w:tab/>
      </w:r>
    </w:p>
    <w:p w:rsidR="000F29C4" w:rsidRDefault="000F29C4" w:rsidP="000F29C4">
      <w:pPr>
        <w:jc w:val="both"/>
        <w:rPr>
          <w:snapToGrid w:val="0"/>
          <w:color w:val="000000"/>
          <w:sz w:val="22"/>
          <w:szCs w:val="22"/>
        </w:rPr>
      </w:pPr>
    </w:p>
    <w:p w:rsidR="000F29C4" w:rsidRPr="000E4B2F" w:rsidRDefault="000F29C4" w:rsidP="000F29C4">
      <w:pPr>
        <w:jc w:val="both"/>
        <w:rPr>
          <w:snapToGrid w:val="0"/>
          <w:color w:val="000000"/>
          <w:sz w:val="22"/>
          <w:szCs w:val="22"/>
        </w:rPr>
      </w:pPr>
      <w:r w:rsidRPr="000E4B2F">
        <w:rPr>
          <w:b/>
          <w:snapToGrid w:val="0"/>
          <w:color w:val="000000"/>
          <w:sz w:val="22"/>
          <w:szCs w:val="22"/>
        </w:rPr>
        <w:t>Предмет процедуры закупки:</w:t>
      </w:r>
    </w:p>
    <w:p w:rsidR="00FE1707" w:rsidRPr="00DC1E2C" w:rsidRDefault="00FE1707" w:rsidP="00FE1707">
      <w:pPr>
        <w:pStyle w:val="Style3"/>
        <w:widowControl/>
        <w:spacing w:line="240" w:lineRule="auto"/>
        <w:ind w:right="265"/>
        <w:jc w:val="both"/>
        <w:rPr>
          <w:bCs/>
          <w:i/>
          <w:sz w:val="22"/>
          <w:szCs w:val="22"/>
        </w:rPr>
      </w:pPr>
      <w:r w:rsidRPr="00846AE9">
        <w:rPr>
          <w:snapToGrid w:val="0"/>
          <w:color w:val="000000"/>
          <w:sz w:val="22"/>
          <w:szCs w:val="22"/>
        </w:rPr>
        <w:t xml:space="preserve">Запрос котировок на право заключения договора поставки </w:t>
      </w:r>
      <w:r w:rsidRPr="00455B94">
        <w:rPr>
          <w:sz w:val="22"/>
          <w:szCs w:val="22"/>
        </w:rPr>
        <w:t xml:space="preserve">реагентов и расходных материалов для </w:t>
      </w:r>
      <w:r w:rsidRPr="0064388D">
        <w:rPr>
          <w:sz w:val="22"/>
          <w:szCs w:val="22"/>
        </w:rPr>
        <w:t>клинико-диагностической лаборатории</w:t>
      </w:r>
      <w:r w:rsidRPr="001371A6">
        <w:rPr>
          <w:bCs/>
          <w:color w:val="FF0000"/>
          <w:sz w:val="22"/>
          <w:szCs w:val="22"/>
        </w:rPr>
        <w:t xml:space="preserve"> </w:t>
      </w:r>
      <w:r w:rsidRPr="002B39E8">
        <w:rPr>
          <w:bCs/>
          <w:sz w:val="22"/>
          <w:szCs w:val="22"/>
        </w:rPr>
        <w:t xml:space="preserve">для нужд </w:t>
      </w:r>
      <w:r w:rsidRPr="00DC1E2C">
        <w:rPr>
          <w:sz w:val="22"/>
          <w:szCs w:val="22"/>
        </w:rPr>
        <w:t xml:space="preserve">ЧУЗ </w:t>
      </w:r>
      <w:r w:rsidRPr="00DC1E2C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«РЖД - Медицина </w:t>
      </w:r>
      <w:proofErr w:type="gramStart"/>
      <w:r w:rsidRPr="00DC1E2C">
        <w:rPr>
          <w:rStyle w:val="FontStyle14"/>
          <w:rFonts w:ascii="Times New Roman" w:hAnsi="Times New Roman" w:cs="Times New Roman"/>
          <w:i w:val="0"/>
          <w:sz w:val="22"/>
          <w:szCs w:val="22"/>
        </w:rPr>
        <w:t>г</w:t>
      </w:r>
      <w:proofErr w:type="gramEnd"/>
      <w:r w:rsidRPr="00DC1E2C">
        <w:rPr>
          <w:rStyle w:val="FontStyle14"/>
          <w:rFonts w:ascii="Times New Roman" w:hAnsi="Times New Roman" w:cs="Times New Roman"/>
          <w:i w:val="0"/>
          <w:sz w:val="22"/>
          <w:szCs w:val="22"/>
        </w:rPr>
        <w:t>. Вологда»</w:t>
      </w:r>
      <w:r>
        <w:rPr>
          <w:rStyle w:val="FontStyle14"/>
          <w:i w:val="0"/>
          <w:sz w:val="22"/>
          <w:szCs w:val="22"/>
        </w:rPr>
        <w:t xml:space="preserve">. </w:t>
      </w:r>
      <w:r>
        <w:rPr>
          <w:sz w:val="22"/>
          <w:szCs w:val="22"/>
        </w:rPr>
        <w:t>В соответствии требованиями Положения о закупке товаров, работ и услуг для нужд негосударственных учреждений здравоохранения ОАО «РЖД», утвержденным приказом Центральной дирекции здравоохранения ОАО «РЖД» от 02.04.2018 г. № ЦДЗ-35, размещенного на сайте заказчика.</w:t>
      </w:r>
    </w:p>
    <w:p w:rsidR="00FE1707" w:rsidRPr="00846AE9" w:rsidRDefault="00FE1707" w:rsidP="00846AE9">
      <w:pPr>
        <w:pStyle w:val="ConsPlusNormal0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0299" w:type="dxa"/>
        <w:jc w:val="center"/>
        <w:tblLayout w:type="fixed"/>
        <w:tblLook w:val="04A0"/>
      </w:tblPr>
      <w:tblGrid>
        <w:gridCol w:w="568"/>
        <w:gridCol w:w="2315"/>
        <w:gridCol w:w="6032"/>
        <w:gridCol w:w="708"/>
        <w:gridCol w:w="676"/>
      </w:tblGrid>
      <w:tr w:rsidR="00E104B4" w:rsidRPr="004E4B7E" w:rsidTr="0086536E">
        <w:trPr>
          <w:trHeight w:val="19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4B4" w:rsidRPr="007676AA" w:rsidRDefault="00E104B4" w:rsidP="00A5418B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  <w:p w:rsidR="00E104B4" w:rsidRPr="004E4B7E" w:rsidRDefault="00E104B4" w:rsidP="000C5DD3">
            <w:pPr>
              <w:ind w:left="-108" w:right="-10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B4" w:rsidRDefault="0086536E" w:rsidP="0086536E">
            <w:pPr>
              <w:pStyle w:val="af4"/>
              <w:widowControl w:val="0"/>
              <w:tabs>
                <w:tab w:val="left" w:pos="142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B4" w:rsidRPr="004E4B7E" w:rsidRDefault="00E104B4" w:rsidP="009B4FC2">
            <w:pPr>
              <w:pStyle w:val="af4"/>
              <w:widowControl w:val="0"/>
              <w:tabs>
                <w:tab w:val="left" w:pos="142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Описание и х</w:t>
            </w:r>
            <w:r w:rsidRPr="004E4B7E">
              <w:rPr>
                <w:b/>
                <w:bCs/>
                <w:sz w:val="18"/>
                <w:szCs w:val="18"/>
              </w:rPr>
              <w:t>арактеристики</w:t>
            </w:r>
            <w:r>
              <w:rPr>
                <w:b/>
                <w:bCs/>
                <w:sz w:val="18"/>
                <w:szCs w:val="18"/>
              </w:rPr>
              <w:t xml:space="preserve"> товара</w:t>
            </w:r>
            <w:r w:rsidRPr="004E4B7E">
              <w:rPr>
                <w:b/>
                <w:bCs/>
                <w:sz w:val="18"/>
                <w:szCs w:val="18"/>
              </w:rPr>
              <w:t xml:space="preserve">, </w:t>
            </w:r>
            <w:r w:rsidRPr="004E4B7E">
              <w:rPr>
                <w:b/>
                <w:sz w:val="18"/>
                <w:szCs w:val="18"/>
              </w:rPr>
              <w:t xml:space="preserve">позволяющие определить </w:t>
            </w:r>
            <w:r>
              <w:rPr>
                <w:b/>
                <w:sz w:val="18"/>
                <w:szCs w:val="18"/>
              </w:rPr>
              <w:t xml:space="preserve">его </w:t>
            </w:r>
            <w:r w:rsidRPr="004E4B7E">
              <w:rPr>
                <w:b/>
                <w:sz w:val="18"/>
                <w:szCs w:val="18"/>
              </w:rPr>
              <w:t>соответствие установленным заказчиком требованиям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4B4" w:rsidRDefault="00E104B4" w:rsidP="00A5418B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E4B7E">
              <w:rPr>
                <w:b/>
                <w:bCs/>
                <w:sz w:val="18"/>
                <w:szCs w:val="18"/>
              </w:rPr>
              <w:t xml:space="preserve">Ед. </w:t>
            </w:r>
          </w:p>
          <w:p w:rsidR="00E104B4" w:rsidRPr="004E4B7E" w:rsidRDefault="00E104B4" w:rsidP="00A5418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E4B7E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4E4B7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4B4" w:rsidRPr="004E4B7E" w:rsidRDefault="00E104B4" w:rsidP="00A5418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4E4B7E">
              <w:rPr>
                <w:b/>
                <w:bCs/>
                <w:sz w:val="18"/>
                <w:szCs w:val="18"/>
              </w:rPr>
              <w:t>Кол-во</w:t>
            </w:r>
          </w:p>
        </w:tc>
      </w:tr>
      <w:tr w:rsidR="00E104B4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04B4" w:rsidRPr="00016976" w:rsidRDefault="00E104B4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4" w:rsidRPr="00380DC3" w:rsidRDefault="00380DC3" w:rsidP="001371A6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Набор реагентов для определения активности аланинаминотрансферазы</w:t>
            </w:r>
            <w:r w:rsidR="0017306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(АЛТ)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4" w:rsidRPr="004E4B7E" w:rsidRDefault="00E104B4" w:rsidP="009A379F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аланинаминотрансферазы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(АЛТ)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alanine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aminotransferase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(ALT)) в клиническом образце методом ферментного спектрофотометрического анализа. Количество выполняемых тестов: ≥ 1000 шт. Назначение: для ручной</w:t>
            </w:r>
            <w:r w:rsidR="009A379F" w:rsidRPr="009A379F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постановки анализа и анализаторов открытого типа.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Метод: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УФ-кинетический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 выпуска: жидкий биреагент; Образец для анализа: сыворотка крови, плазма крови; Состав: реагент 1 не менее 2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х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200 мл, реагент 2 не менее 2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х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50 мл; Предел линейности не менее 600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Е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/л; Стабильность реагентов после вскрытия флаконов не менее 24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4B4" w:rsidRPr="004E4B7E" w:rsidRDefault="00E104B4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04B4" w:rsidRPr="007676AA" w:rsidRDefault="00E104B4" w:rsidP="000F33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  <w:tr w:rsidR="0017306E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6E" w:rsidRPr="00016976" w:rsidRDefault="0017306E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380DC3" w:rsidRDefault="0017306E" w:rsidP="000F33CE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Набор реагентов для определения активности аланинаминотрансферазы (АЛТ)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4E4B7E" w:rsidRDefault="0017306E" w:rsidP="001371A6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аланинаминотрансферазы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(АЛТ)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alanine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aminotransferase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(ALT)) в клиническом образце методом ферментного спектрофотометрического анализа. Количество выполняемых тестов: ≥ 200 шт. Назначение: для ручной постановки анализа и анализаторов открытого типа.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Метод: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УФ-кинетический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 выпуска: жидкий биреагент; Образец для анализа: сыворотка крови, плазма крови; Состав: реагент 1 не менее 2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х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40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мл, реагент 2 не менее 2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х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10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мл; Предел линейности не менее 600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Е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/л; Стабильность реагентов после вскрытия флаконов не менее 24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6E" w:rsidRPr="004E4B7E" w:rsidRDefault="0017306E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6E" w:rsidRPr="007676AA" w:rsidRDefault="0017306E" w:rsidP="000F33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  <w:tr w:rsidR="0017306E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6E" w:rsidRPr="00016976" w:rsidRDefault="0017306E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Default="0017306E" w:rsidP="0017306E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определения активности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sym w:font="Symbol" w:char="F061"/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амилазы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4E4B7E" w:rsidRDefault="0017306E" w:rsidP="00A5418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общей амилазы  в клиническом образце, с использованием метода ферментного спектрофотометрического анализа.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Количество выполняемых тестов: ≥ 400 шт.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Назначение: для анализаторов открытого типа и ручной постановки.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Метод: кинетический, субстрат CNP-олигосахарид; Форма выпуска: жидкий монореагент; Образец для анализа: сыворотка крови, плазма крови, моча; </w:t>
            </w:r>
          </w:p>
          <w:p w:rsidR="0017306E" w:rsidRPr="004E4B7E" w:rsidRDefault="0017306E" w:rsidP="00A5418B">
            <w:pPr>
              <w:rPr>
                <w:sz w:val="18"/>
                <w:szCs w:val="18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Состав: реагент не менее 4 × 50 мл; Предел линейности не менее 2000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Е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/л; Стабильность реагента после вскрытия флакона не менее 36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6E" w:rsidRPr="004E4B7E" w:rsidRDefault="0017306E" w:rsidP="00A5418B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6E" w:rsidRPr="007676AA" w:rsidRDefault="0017306E" w:rsidP="00A5418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17306E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6E" w:rsidRPr="00016976" w:rsidRDefault="0017306E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Default="0017306E" w:rsidP="001371A6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Набор реагентов для определения активности аспартатаминотрансферазы (АСТ)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Default="0017306E" w:rsidP="001371A6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общей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аспартатаминотрансферазы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(АСТ)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aspartate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aminotransferase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(AST)) в клиническом образце методом ферментного спектрофотометрического анализа. Количество выполняемых тестов: ≥ 1000 шт. Назначение: для ручной постановки анализа и анализаторов открытого типа.</w:t>
            </w:r>
          </w:p>
          <w:p w:rsidR="0017306E" w:rsidRPr="004E4B7E" w:rsidRDefault="0017306E" w:rsidP="00A5418B">
            <w:pPr>
              <w:rPr>
                <w:sz w:val="18"/>
                <w:szCs w:val="18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Метод: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УФ-кинетический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 выпуска: жидкий биреагент; Образец для анализа: сыворотка крови, плазма крови; Состав: реагент 1 не менее 2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× 200 мл, реагент 2 не менее 2 × 50 мл; Предел линейности не менее 800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Е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/л; Стабильность реагентов после вскрытия флаконов не менее 24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6E" w:rsidRPr="004E4B7E" w:rsidRDefault="0017306E" w:rsidP="00A5418B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lastRenderedPageBreak/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6E" w:rsidRPr="007676AA" w:rsidRDefault="0017306E" w:rsidP="00A5418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  <w:tr w:rsidR="0017306E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6E" w:rsidRPr="00016976" w:rsidRDefault="0017306E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Default="0017306E" w:rsidP="000F33CE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Набор реагентов для определения активности аспартатаминотрансферазы (АСТ)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Default="0017306E" w:rsidP="001371A6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общей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аспартатаминотрансферазы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(АСТ)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aspartate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aminotransferase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(AST)) в клиническом образце методом ферментного спектрофотометрического анализа.  Количество выполняемых тестов: ≥ 200 шт. Назначение: для ручной постановки анализа и анализаторов открытого типа.</w:t>
            </w:r>
          </w:p>
          <w:p w:rsidR="0017306E" w:rsidRPr="004E4B7E" w:rsidRDefault="0017306E" w:rsidP="007676AA">
            <w:pPr>
              <w:rPr>
                <w:sz w:val="18"/>
                <w:szCs w:val="18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Метод: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УФ-кинетический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 выпуска: жидкий биреагент; Образец для анализа: сыворотка крови, плазма крови; Состав: реагент 1 не менее 2 × </w:t>
            </w:r>
            <w:r w:rsidRPr="007676AA">
              <w:rPr>
                <w:color w:val="000000" w:themeColor="text1"/>
                <w:sz w:val="18"/>
                <w:szCs w:val="18"/>
                <w:shd w:val="clear" w:color="auto" w:fill="FFFFFF"/>
              </w:rPr>
              <w:t>40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мл, реагент 2 не менее 2 × </w:t>
            </w:r>
            <w:r w:rsidRPr="007676AA">
              <w:rPr>
                <w:color w:val="000000" w:themeColor="text1"/>
                <w:sz w:val="18"/>
                <w:szCs w:val="18"/>
                <w:shd w:val="clear" w:color="auto" w:fill="FFFFFF"/>
              </w:rPr>
              <w:t>10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мл; Предел линейности не менее 800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Е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/л; Стабильность реагентов после вскрытия флаконов не менее 24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6E" w:rsidRPr="004E4B7E" w:rsidRDefault="0017306E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6E" w:rsidRPr="007676AA" w:rsidRDefault="0017306E" w:rsidP="000F33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  <w:tr w:rsidR="0017306E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6E" w:rsidRPr="00016976" w:rsidRDefault="0017306E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Default="0017306E" w:rsidP="0017306E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Набор реагентов для определения  общего билирубина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Default="0017306E" w:rsidP="007676AA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общего билирубина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total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bilirubin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 в клиническом образце с использованием метода спектрофотометрического анализа. Количество выполняемых тестов: ≥ 200 шт. Назначение: для анализаторов открытого типа. </w:t>
            </w:r>
            <w:r w:rsidRPr="007676A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Метод: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Йендрашика-Грофа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 выпуска: жидкие реагенты; Образец для анализа: сыворотка крови, плазма крови; Состав: реагент 1 не менее 2 × 100 мл, реагент 2 не менее 1 × 5,5 мл, калибратор не менее 1 флакон; Предел линейности не менее 428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мкмоль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/л; </w:t>
            </w:r>
          </w:p>
          <w:p w:rsidR="0017306E" w:rsidRPr="007676AA" w:rsidRDefault="0017306E" w:rsidP="000F33CE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Стабильность реагента после вскрытия флакона не менее 6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6E" w:rsidRPr="004E4B7E" w:rsidRDefault="0017306E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6E" w:rsidRDefault="0017306E" w:rsidP="000F33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  <w:p w:rsidR="0017306E" w:rsidRPr="007676AA" w:rsidRDefault="0017306E" w:rsidP="000F33C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7306E" w:rsidRPr="004E4B7E" w:rsidTr="0017306E">
        <w:trPr>
          <w:trHeight w:val="12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6E" w:rsidRPr="00016976" w:rsidRDefault="0017306E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EE" w:rsidRPr="00AC40EE" w:rsidRDefault="00AC40EE" w:rsidP="00AC40EE">
            <w:pPr>
              <w:rPr>
                <w:sz w:val="18"/>
                <w:szCs w:val="18"/>
              </w:rPr>
            </w:pPr>
            <w:r w:rsidRPr="00AC40EE">
              <w:rPr>
                <w:sz w:val="18"/>
                <w:szCs w:val="18"/>
              </w:rPr>
              <w:t>Набор реагентов для измерен</w:t>
            </w:r>
            <w:r w:rsidR="00B54BBD">
              <w:rPr>
                <w:sz w:val="18"/>
                <w:szCs w:val="18"/>
              </w:rPr>
              <w:t>ия концентрации гемоглобина А1С</w:t>
            </w:r>
          </w:p>
          <w:p w:rsidR="0017306E" w:rsidRPr="00AC40EE" w:rsidRDefault="0017306E" w:rsidP="00A8418E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Default="0017306E" w:rsidP="00255B39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гликированного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гемоглобина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glycated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haemoglobin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(HbA1c)), также известного как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гликозилированный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гемоглобин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glycosylated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haemoglobin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), в клиническом образце методом турбидиметрического анализа. Количество выполняемых тестов: ≥ 100 шт. Назначение: для ручной постановки анализа. Метод: турбидиметрический прямой; Форма выпуска: жидкий биреагент; </w:t>
            </w:r>
          </w:p>
          <w:p w:rsidR="0017306E" w:rsidRDefault="0017306E" w:rsidP="00255B39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Образец для анализа: цельная кровь; Состав: реагент 1 не менее 1 × 50 мл, реагент 2 не менее 1 × 10 мл; </w:t>
            </w:r>
          </w:p>
          <w:p w:rsidR="0017306E" w:rsidRPr="004E4B7E" w:rsidRDefault="0017306E" w:rsidP="00255B39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Предел линейности не менее 140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ммоль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/моль; П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осле вскрытия флаконов при хранении в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температуре от +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 xml:space="preserve">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о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С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до +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8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о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С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реагенты с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табильн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ы в течение всего срока годности.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6E" w:rsidRPr="004E4B7E" w:rsidRDefault="0017306E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6E" w:rsidRDefault="0017306E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17306E" w:rsidRPr="004E4B7E" w:rsidRDefault="0017306E" w:rsidP="000F33CE">
            <w:pPr>
              <w:jc w:val="center"/>
              <w:rPr>
                <w:sz w:val="18"/>
                <w:szCs w:val="18"/>
              </w:rPr>
            </w:pPr>
          </w:p>
        </w:tc>
      </w:tr>
      <w:tr w:rsidR="0017306E" w:rsidRPr="004E4B7E" w:rsidTr="0017306E">
        <w:trPr>
          <w:trHeight w:val="73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6E" w:rsidRPr="00016976" w:rsidRDefault="0017306E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4E4B7E" w:rsidRDefault="00AC40EE" w:rsidP="000F33CE">
            <w:pPr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 xml:space="preserve">Набор контрольного материала </w:t>
            </w:r>
            <w:proofErr w:type="spellStart"/>
            <w:r w:rsidRPr="004E4B7E">
              <w:rPr>
                <w:sz w:val="18"/>
                <w:szCs w:val="18"/>
              </w:rPr>
              <w:t>Гликогемоглобина</w:t>
            </w:r>
            <w:proofErr w:type="spellEnd"/>
            <w:r w:rsidRPr="004E4B7E">
              <w:rPr>
                <w:sz w:val="18"/>
                <w:szCs w:val="18"/>
              </w:rPr>
              <w:t xml:space="preserve"> (</w:t>
            </w:r>
            <w:proofErr w:type="spellStart"/>
            <w:r w:rsidRPr="004E4B7E">
              <w:rPr>
                <w:sz w:val="18"/>
                <w:szCs w:val="18"/>
                <w:lang w:val="en-US"/>
              </w:rPr>
              <w:t>HbA</w:t>
            </w:r>
            <w:proofErr w:type="spellEnd"/>
            <w:r w:rsidRPr="004E4B7E">
              <w:rPr>
                <w:sz w:val="18"/>
                <w:szCs w:val="18"/>
              </w:rPr>
              <w:t>1</w:t>
            </w:r>
            <w:r w:rsidRPr="004E4B7E">
              <w:rPr>
                <w:sz w:val="18"/>
                <w:szCs w:val="18"/>
                <w:lang w:val="en-US"/>
              </w:rPr>
              <w:t>C</w:t>
            </w:r>
            <w:r w:rsidRPr="004E4B7E">
              <w:rPr>
                <w:sz w:val="18"/>
                <w:szCs w:val="18"/>
              </w:rPr>
              <w:t>) нормальный уровень.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4E4B7E" w:rsidRDefault="0017306E" w:rsidP="000F33CE">
            <w:pPr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 xml:space="preserve">Набор контрольного материала </w:t>
            </w:r>
            <w:proofErr w:type="spellStart"/>
            <w:r w:rsidRPr="004E4B7E">
              <w:rPr>
                <w:sz w:val="18"/>
                <w:szCs w:val="18"/>
              </w:rPr>
              <w:t>Гликогемоглобина</w:t>
            </w:r>
            <w:proofErr w:type="spellEnd"/>
            <w:r w:rsidRPr="004E4B7E">
              <w:rPr>
                <w:sz w:val="18"/>
                <w:szCs w:val="18"/>
              </w:rPr>
              <w:t xml:space="preserve"> (</w:t>
            </w:r>
            <w:proofErr w:type="spellStart"/>
            <w:r w:rsidRPr="004E4B7E">
              <w:rPr>
                <w:sz w:val="18"/>
                <w:szCs w:val="18"/>
                <w:lang w:val="en-US"/>
              </w:rPr>
              <w:t>HbA</w:t>
            </w:r>
            <w:proofErr w:type="spellEnd"/>
            <w:r w:rsidRPr="004E4B7E">
              <w:rPr>
                <w:sz w:val="18"/>
                <w:szCs w:val="18"/>
              </w:rPr>
              <w:t>1</w:t>
            </w:r>
            <w:r w:rsidRPr="004E4B7E">
              <w:rPr>
                <w:sz w:val="18"/>
                <w:szCs w:val="18"/>
                <w:lang w:val="en-US"/>
              </w:rPr>
              <w:t>C</w:t>
            </w:r>
            <w:r w:rsidRPr="004E4B7E">
              <w:rPr>
                <w:sz w:val="18"/>
                <w:szCs w:val="18"/>
              </w:rPr>
              <w:t xml:space="preserve">) нормальный уровень.  </w:t>
            </w:r>
            <w:proofErr w:type="gramStart"/>
            <w:r w:rsidRPr="004E4B7E">
              <w:rPr>
                <w:sz w:val="18"/>
                <w:szCs w:val="18"/>
              </w:rPr>
              <w:t xml:space="preserve">Назначение: контроль правильности и воспроизводимости результатов исследования при количественном определении гликогемоглобина в цельной крови методами </w:t>
            </w:r>
            <w:proofErr w:type="spellStart"/>
            <w:r w:rsidRPr="004E4B7E">
              <w:rPr>
                <w:sz w:val="18"/>
                <w:szCs w:val="18"/>
              </w:rPr>
              <w:t>иммуноингибирования</w:t>
            </w:r>
            <w:proofErr w:type="spellEnd"/>
            <w:r w:rsidRPr="004E4B7E">
              <w:rPr>
                <w:sz w:val="18"/>
                <w:szCs w:val="18"/>
              </w:rPr>
              <w:t xml:space="preserve">, прямым турбидиметрическим и </w:t>
            </w:r>
            <w:proofErr w:type="spellStart"/>
            <w:r w:rsidRPr="004E4B7E">
              <w:rPr>
                <w:sz w:val="18"/>
                <w:szCs w:val="18"/>
              </w:rPr>
              <w:t>энзиматическим</w:t>
            </w:r>
            <w:proofErr w:type="spellEnd"/>
            <w:r w:rsidRPr="004E4B7E">
              <w:rPr>
                <w:sz w:val="18"/>
                <w:szCs w:val="18"/>
              </w:rPr>
              <w:t xml:space="preserve"> методами; Количество аттестованных показателей: не менее 1; Уровень: 1; Форма выпуска: </w:t>
            </w:r>
            <w:proofErr w:type="spellStart"/>
            <w:r w:rsidRPr="004E4B7E">
              <w:rPr>
                <w:sz w:val="18"/>
                <w:szCs w:val="18"/>
              </w:rPr>
              <w:t>лиофилизат</w:t>
            </w:r>
            <w:proofErr w:type="spellEnd"/>
            <w:r w:rsidRPr="004E4B7E">
              <w:rPr>
                <w:sz w:val="18"/>
                <w:szCs w:val="18"/>
              </w:rPr>
              <w:t>; Состав: контроль не менее 1 × 0,5 мл; Стабильность контрольного материала после разведения не менее 7 дней при температуре 2-8</w:t>
            </w:r>
            <w:r w:rsidRPr="004E4B7E">
              <w:rPr>
                <w:sz w:val="18"/>
                <w:szCs w:val="18"/>
                <w:vertAlign w:val="superscript"/>
              </w:rPr>
              <w:t>о</w:t>
            </w:r>
            <w:r w:rsidRPr="004E4B7E">
              <w:rPr>
                <w:sz w:val="18"/>
                <w:szCs w:val="18"/>
              </w:rPr>
              <w:t>С.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06E" w:rsidRPr="004E4B7E" w:rsidRDefault="0017306E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306E" w:rsidRPr="004E4B7E" w:rsidRDefault="0017306E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219" w:rsidRPr="004E4B7E" w:rsidTr="0017306E">
        <w:trPr>
          <w:trHeight w:val="134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3219" w:rsidRPr="00016976" w:rsidRDefault="007F3219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9" w:rsidRPr="004E4B7E" w:rsidRDefault="007F3219" w:rsidP="000F33CE">
            <w:pPr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 xml:space="preserve">Набор контрольного материала </w:t>
            </w:r>
            <w:proofErr w:type="spellStart"/>
            <w:r w:rsidRPr="004E4B7E">
              <w:rPr>
                <w:sz w:val="18"/>
                <w:szCs w:val="18"/>
              </w:rPr>
              <w:t>Гликогемоглобина</w:t>
            </w:r>
            <w:proofErr w:type="spellEnd"/>
            <w:r w:rsidRPr="004E4B7E">
              <w:rPr>
                <w:sz w:val="18"/>
                <w:szCs w:val="18"/>
              </w:rPr>
              <w:t xml:space="preserve"> (</w:t>
            </w:r>
            <w:proofErr w:type="spellStart"/>
            <w:r w:rsidRPr="004E4B7E">
              <w:rPr>
                <w:sz w:val="18"/>
                <w:szCs w:val="18"/>
                <w:lang w:val="en-US"/>
              </w:rPr>
              <w:t>HbA</w:t>
            </w:r>
            <w:proofErr w:type="spellEnd"/>
            <w:r w:rsidRPr="004E4B7E">
              <w:rPr>
                <w:sz w:val="18"/>
                <w:szCs w:val="18"/>
              </w:rPr>
              <w:t>1</w:t>
            </w:r>
            <w:r w:rsidRPr="004E4B7E">
              <w:rPr>
                <w:sz w:val="18"/>
                <w:szCs w:val="18"/>
                <w:lang w:val="en-US"/>
              </w:rPr>
              <w:t>C</w:t>
            </w:r>
            <w:r w:rsidRPr="004E4B7E">
              <w:rPr>
                <w:sz w:val="18"/>
                <w:szCs w:val="18"/>
              </w:rPr>
              <w:t>) нормальный уровень.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9" w:rsidRPr="004E4B7E" w:rsidRDefault="007F3219" w:rsidP="000F33CE">
            <w:pPr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 xml:space="preserve">Набор контрольного материала </w:t>
            </w:r>
            <w:proofErr w:type="spellStart"/>
            <w:r w:rsidRPr="004E4B7E">
              <w:rPr>
                <w:sz w:val="18"/>
                <w:szCs w:val="18"/>
              </w:rPr>
              <w:t>Гликогемоглобина</w:t>
            </w:r>
            <w:proofErr w:type="spellEnd"/>
            <w:r w:rsidRPr="004E4B7E">
              <w:rPr>
                <w:sz w:val="18"/>
                <w:szCs w:val="18"/>
              </w:rPr>
              <w:t xml:space="preserve"> (</w:t>
            </w:r>
            <w:proofErr w:type="spellStart"/>
            <w:r w:rsidRPr="004E4B7E">
              <w:rPr>
                <w:sz w:val="18"/>
                <w:szCs w:val="18"/>
                <w:lang w:val="en-US"/>
              </w:rPr>
              <w:t>HbA</w:t>
            </w:r>
            <w:proofErr w:type="spellEnd"/>
            <w:r w:rsidRPr="004E4B7E">
              <w:rPr>
                <w:sz w:val="18"/>
                <w:szCs w:val="18"/>
              </w:rPr>
              <w:t>1</w:t>
            </w:r>
            <w:r w:rsidRPr="004E4B7E">
              <w:rPr>
                <w:sz w:val="18"/>
                <w:szCs w:val="18"/>
                <w:lang w:val="en-US"/>
              </w:rPr>
              <w:t>C</w:t>
            </w:r>
            <w:r w:rsidRPr="004E4B7E">
              <w:rPr>
                <w:sz w:val="18"/>
                <w:szCs w:val="18"/>
              </w:rPr>
              <w:t xml:space="preserve">) повышенный уровень. </w:t>
            </w:r>
            <w:proofErr w:type="gramStart"/>
            <w:r w:rsidRPr="004E4B7E">
              <w:rPr>
                <w:sz w:val="18"/>
                <w:szCs w:val="18"/>
              </w:rPr>
              <w:t xml:space="preserve">Назначение: контроль правильности и воспроизводимости результатов исследования при количественном определении гликогемоглобина в цельной крови методами </w:t>
            </w:r>
            <w:proofErr w:type="spellStart"/>
            <w:r w:rsidRPr="004E4B7E">
              <w:rPr>
                <w:sz w:val="18"/>
                <w:szCs w:val="18"/>
              </w:rPr>
              <w:t>иммуноингибирования</w:t>
            </w:r>
            <w:proofErr w:type="spellEnd"/>
            <w:r w:rsidRPr="004E4B7E">
              <w:rPr>
                <w:sz w:val="18"/>
                <w:szCs w:val="18"/>
              </w:rPr>
              <w:t xml:space="preserve">, прямым турбидиметрическим и </w:t>
            </w:r>
            <w:proofErr w:type="spellStart"/>
            <w:r w:rsidRPr="004E4B7E">
              <w:rPr>
                <w:sz w:val="18"/>
                <w:szCs w:val="18"/>
              </w:rPr>
              <w:t>энзиматическим</w:t>
            </w:r>
            <w:proofErr w:type="spellEnd"/>
            <w:r w:rsidRPr="004E4B7E">
              <w:rPr>
                <w:sz w:val="18"/>
                <w:szCs w:val="18"/>
              </w:rPr>
              <w:t xml:space="preserve"> методами; Количество аттестованных показателей: не менее 1; Уровень: 2; Форма выпуска: </w:t>
            </w:r>
            <w:proofErr w:type="spellStart"/>
            <w:r w:rsidRPr="004E4B7E">
              <w:rPr>
                <w:sz w:val="18"/>
                <w:szCs w:val="18"/>
              </w:rPr>
              <w:t>лиофилизат</w:t>
            </w:r>
            <w:proofErr w:type="spellEnd"/>
            <w:r w:rsidRPr="004E4B7E">
              <w:rPr>
                <w:sz w:val="18"/>
                <w:szCs w:val="18"/>
              </w:rPr>
              <w:t>;  Состав: контроль не менее 1 × 0,5 мл;  Стабильность контрольного материала после разведения не менее 7 дней при температуре 2-8</w:t>
            </w:r>
            <w:r w:rsidRPr="004E4B7E">
              <w:rPr>
                <w:sz w:val="18"/>
                <w:szCs w:val="18"/>
                <w:vertAlign w:val="superscript"/>
              </w:rPr>
              <w:t>о</w:t>
            </w:r>
            <w:r w:rsidRPr="004E4B7E">
              <w:rPr>
                <w:sz w:val="18"/>
                <w:szCs w:val="18"/>
              </w:rPr>
              <w:t>С.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219" w:rsidRPr="004E4B7E" w:rsidRDefault="007F3219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3219" w:rsidRPr="004E4B7E" w:rsidRDefault="007F3219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219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3219" w:rsidRPr="00016976" w:rsidRDefault="007F3219" w:rsidP="000F33CE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9" w:rsidRDefault="00A670CA" w:rsidP="00A670CA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определения холестерина липопротеидов низкой плотности 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9" w:rsidRDefault="007F3219" w:rsidP="00255B39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холестерина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липопротеинов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низкой плотности (ЛПНП)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low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density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lipoprotein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(LDL)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cholesterol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 в клиническом образце методом ферментного спектрофотометрического анализа. Количество выполняемых тестов: ≥ 100 Штука. Назначение: для анализаторов открытого типа и ручной постановки. Метод: прямой ферментативный колориметрический метод; Форма выпуска: жидкий биреагент; Образец для анализа: сыворотка крови; Состав: реагент 1 не менее 3×20 мл, реагент 2 не менее 1×20 мл, калибратор не менее 1фл.;  Предел линейности не менее 25,9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ммоль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/л; </w:t>
            </w:r>
          </w:p>
          <w:p w:rsidR="007F3219" w:rsidRPr="004E4B7E" w:rsidRDefault="007F3219" w:rsidP="000F33CE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Стабильность реагентов после вскрытия флаконов не менее 1 месяца.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219" w:rsidRPr="004E4B7E" w:rsidRDefault="007F3219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3219" w:rsidRPr="004E4B7E" w:rsidRDefault="007F3219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670CA" w:rsidRPr="004E4B7E" w:rsidTr="0017306E">
        <w:trPr>
          <w:trHeight w:val="63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70CA" w:rsidRPr="00016976" w:rsidRDefault="00A670CA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A" w:rsidRDefault="00A670CA" w:rsidP="00A670CA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определения холестерина липопротеидов высокой плотности 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A" w:rsidRPr="004E4B7E" w:rsidRDefault="00A670CA" w:rsidP="00255B39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предназначенных для количественного измерения холестерина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липопротеинов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высокой плотности (ЛПВП) в клиническом образце методом ферментной спектрометрии. Количество выполняемых тестов: ≥ 100 Штука. Назначение: для ручной постановки анализа и анализаторов открытого типа.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Форма выпуска: жидкий биреагент; Образец для анализа: сыворотка крови, плазма крови; Состав: реагент 1 не менее 3×20 мл, реагент 2 не менее 1×20 мл, калибратор не менее 1фл.; Предел линейности не менее 5,4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ммоль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/л; Стабильность реагентов после вскрытия флаконов не менее 2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0CA" w:rsidRPr="004E4B7E" w:rsidRDefault="00A670CA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lastRenderedPageBreak/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70CA" w:rsidRPr="004E4B7E" w:rsidRDefault="00A670CA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670CA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70CA" w:rsidRPr="00016976" w:rsidRDefault="00A670CA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A" w:rsidRPr="0086536E" w:rsidRDefault="00A670CA" w:rsidP="00034D0B">
            <w:pPr>
              <w:rPr>
                <w:sz w:val="18"/>
                <w:szCs w:val="18"/>
                <w:shd w:val="clear" w:color="auto" w:fill="FFFFFF"/>
              </w:rPr>
            </w:pPr>
            <w:r w:rsidRPr="0086536E">
              <w:rPr>
                <w:sz w:val="18"/>
                <w:szCs w:val="18"/>
                <w:shd w:val="clear" w:color="auto" w:fill="FFFFFF"/>
              </w:rPr>
              <w:t xml:space="preserve">Набор реагентов для определения </w:t>
            </w:r>
            <w:proofErr w:type="spellStart"/>
            <w:r w:rsidR="0064388D" w:rsidRPr="0086536E">
              <w:rPr>
                <w:sz w:val="18"/>
                <w:szCs w:val="18"/>
                <w:shd w:val="clear" w:color="auto" w:fill="FFFFFF"/>
              </w:rPr>
              <w:t>микро</w:t>
            </w:r>
            <w:r w:rsidRPr="0086536E">
              <w:rPr>
                <w:sz w:val="18"/>
                <w:szCs w:val="18"/>
                <w:shd w:val="clear" w:color="auto" w:fill="FFFFFF"/>
              </w:rPr>
              <w:t>альбумина</w:t>
            </w:r>
            <w:proofErr w:type="spellEnd"/>
            <w:r w:rsidR="00034D0B" w:rsidRPr="0086536E">
              <w:rPr>
                <w:sz w:val="18"/>
                <w:szCs w:val="18"/>
                <w:shd w:val="clear" w:color="auto" w:fill="FFFFFF"/>
              </w:rPr>
              <w:t xml:space="preserve"> в моче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A" w:rsidRPr="004E4B7E" w:rsidRDefault="00A670CA" w:rsidP="008B5840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микроальбумина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microalbumin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 в клиническом образце методом турбидиметрического анализа. Количество выполняемых тестов: ≥ 50 Штука. Назначение: для ручной постановки и анализаторов открытого типа.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Метод: иммунотурбидиметрический;  Форма выпуска: жидкий биреагент; Образец для анализа: моча; Состав: реагент 1 не менее 1×48 мл, реагент 2 не менее 1×8 мл, калибратор не менее 1 × 1 мл; Предел линейности не менее 400,0 мг/л; Стабильность реагентов после вскрытия флаконов не менее 24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0CA" w:rsidRPr="004E4B7E" w:rsidRDefault="00A670CA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70CA" w:rsidRPr="004E4B7E" w:rsidRDefault="00A670CA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34D0B" w:rsidRPr="004E4B7E" w:rsidTr="0017306E">
        <w:trPr>
          <w:trHeight w:val="7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Pr="00016976" w:rsidRDefault="00034D0B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Default="00034D0B" w:rsidP="00034D0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Набор реагентов для определения концентрации мочевой кислоты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Pr="004E4B7E" w:rsidRDefault="00034D0B" w:rsidP="00C371F7">
            <w:pPr>
              <w:rPr>
                <w:sz w:val="18"/>
                <w:szCs w:val="18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мочевой кислоты  в клиническом образце методом ферментного спектрофотометрического анализа.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Количество выполняемых тестов: ≥ 400 Штука. Назначение: для ручной постановки анализа и анализаторов открытого типа.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Метод: ферментативный колориметрический;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Форма выпуска: жидкий монореагент; Образец для анализа: сыворотка крови, плазма крови, моча; Состав: реагент не менее 2 ×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10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0 мл,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калибратор не менее 1 × 2 мл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Предел линейности не менее 1500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мкмоль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/л; Стабильность реагента после вскрытия флакона не менее 24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Default="00034D0B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</w:p>
        </w:tc>
      </w:tr>
      <w:tr w:rsidR="00034D0B" w:rsidRPr="004E4B7E" w:rsidTr="0017306E">
        <w:trPr>
          <w:trHeight w:val="203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Pr="00016976" w:rsidRDefault="00034D0B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Pr="0064388D" w:rsidRDefault="00034D0B" w:rsidP="00034D0B">
            <w:pPr>
              <w:rPr>
                <w:sz w:val="18"/>
                <w:szCs w:val="18"/>
                <w:shd w:val="clear" w:color="auto" w:fill="FFFFFF"/>
              </w:rPr>
            </w:pPr>
            <w:r w:rsidRPr="0064388D">
              <w:rPr>
                <w:sz w:val="18"/>
                <w:szCs w:val="18"/>
                <w:shd w:val="clear" w:color="auto" w:fill="FFFFFF"/>
              </w:rPr>
              <w:t>Набор реагентов для фотометрического определения альбумина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Pr="004E4B7E" w:rsidRDefault="00034D0B" w:rsidP="000F33CE">
            <w:pPr>
              <w:rPr>
                <w:sz w:val="18"/>
                <w:szCs w:val="18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альбумина в клиническом образце методом спектрофотометрического анализа.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Количество выполняемых тестов: ≥ 400 Штука.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Назначение: для анализаторов открытого типа и ручной постановки. Метод: колориметрический с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бромкрезоловым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зеленым; Форма выпуска: жидкий монореагент; Образец для анализа: сыворотка крови, плазма крови; Состав: реагент не менее 2 × 100 мл, калибратор не менее 1 × 2 мл; Предел линейности не менее 70 г/л; Стабильность реагента после вскрытия флакона не менее 12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Default="00034D0B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</w:p>
        </w:tc>
      </w:tr>
      <w:tr w:rsidR="00034D0B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Pr="00016976" w:rsidRDefault="00034D0B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Default="00034D0B" w:rsidP="008B5840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Набор реагентов для определения общего белка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Pr="004E4B7E" w:rsidRDefault="00034D0B" w:rsidP="008B5840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общего белка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total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protein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 в клиническом образце методом спектрофотометрического анализа. Количество выполняемых тестов: ≥ 1000 Штука. Назначение: для анализаторов открытого типа и ручной постановки.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Метод: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биуретовый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; Форма выпуска: жидкий монореагент; Образец для анализа: сыворотка крови, плазма крови;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Состав: реагент не менее 2 × 250 мл, калибратор не менее 1 × 2 мл; Предел линейности не менее 120 г/л; Стабильность реагента после вскрытия не менее 12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Default="00034D0B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34D0B" w:rsidRPr="004E4B7E" w:rsidRDefault="00034D0B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034D0B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Pr="00016976" w:rsidRDefault="00034D0B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Default="00034D0B" w:rsidP="00034D0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определения активности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гамма-глутамилтрансферазы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(ГГТ)  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Pr="004E4B7E" w:rsidRDefault="00034D0B" w:rsidP="008B5840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гамма-глутамилтрансферазы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(ГГТ) 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gamma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glutamyltransferase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(GGT))  в клиническом образце методом ферментного спектрофотометрического анализа.   Количество выполняемых тестов: ≥ 400 Штука. Назначение: для ручной постановки анализа и анализаторов открытого типа.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 Метод: кинетический; Форма выпуска: жидкий биреагент; Образец для анализа: сыворотка крови, плазма крови; Состав: реагент 1 не менее 2 × 80 мл, реагент 2 не менее 2 × 20 мл; Предел линейности не менее 1200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Е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/л;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С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табильность реагентов после вскрытия флаконов не менее 18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Default="00034D0B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34D0B" w:rsidRPr="004E4B7E" w:rsidRDefault="00034D0B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034D0B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Pr="00016976" w:rsidRDefault="00034D0B" w:rsidP="000F33CE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Pr="00AC40EE" w:rsidRDefault="00034D0B" w:rsidP="000F33CE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C40EE">
              <w:rPr>
                <w:sz w:val="18"/>
                <w:szCs w:val="18"/>
              </w:rPr>
              <w:t xml:space="preserve">Набор реагентов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для определения общего холестерина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Pr="004E4B7E" w:rsidRDefault="00034D0B" w:rsidP="008B5840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общего холестерина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total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cholesterol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 в клиническом образце методом ферментного спектрофотометрического анализа. Количество выполняемых тестов: ≥ 1000 Штука. Назначение: для анализаторов открытого типа и ручной постановки. 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Метод: ферментативный (CHOD-PAP); Форма выпуска: жидкий монореагент; Образец для анализа: сыворотка крови, плазма крови; Состав: реагент не менее 2 × 250 мл, калибратор не менее 1 × 3 мл; Предел линейности не менее 26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ммоль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/л; Стабильность реагента после вскрытия флакона не менее 24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Default="00034D0B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</w:p>
        </w:tc>
      </w:tr>
      <w:tr w:rsidR="00034D0B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Pr="00016976" w:rsidRDefault="00034D0B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Pr="00AC40EE" w:rsidRDefault="00034D0B" w:rsidP="00034D0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C40EE">
              <w:rPr>
                <w:sz w:val="18"/>
                <w:szCs w:val="18"/>
              </w:rPr>
              <w:t xml:space="preserve">Набор реагентов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для определения концентрации глюкозы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Pr="004E4B7E" w:rsidRDefault="00034D0B" w:rsidP="008B5840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глюкозы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glucose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 в клиническом образце методом ферментного спектрофотометрического анализа. Количество выполняемых тестов: ≥ 2000 Штука. Назначение: для анализаторов открытого типа и ручной постановки.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Метод: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глюкозооксидазный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(GOD-PAP); Форма выпуска: жидкие реагенты; Образец для анализа: цельная кровь, сыворотка крови, плазма крови, моча; Состав: реагент 1 не менее 4 × 250 мл, калибратор не менее 1 × 4 мл; Предел линейности не менее 30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ммоль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/л; Стабильность реагентов после вскрытия флаконов не менее 24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Default="00034D0B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034D0B" w:rsidRPr="004E4B7E" w:rsidRDefault="00034D0B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034D0B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Pr="00016976" w:rsidRDefault="00034D0B" w:rsidP="000F33CE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Pr="00AC40EE" w:rsidRDefault="00034D0B" w:rsidP="00034D0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C40EE">
              <w:rPr>
                <w:sz w:val="18"/>
                <w:szCs w:val="18"/>
              </w:rPr>
              <w:t xml:space="preserve">Набор реагентов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для определения хлоридов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Pr="004E4B7E" w:rsidRDefault="00034D0B" w:rsidP="00C5652D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хлорида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chloride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Cl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-)) в клиническом образце с использованием  спектрофотометрического метода анализа.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Количество выполняемых тестов: ≥ 400 Штука. Назначение: для анализаторов открытого типа и ручной постановки. Метод: колориметрическим с роданидом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тиоцианатом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 ртути; Форма выпуска: жидкий монореагент; Образец для анализа: сыворотка крови, плазма крови, моча; Состав: реагент не менее 1 × 200 мл, калибратор не менее 1 × 3 мл;  Предел линейности не менее 160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ммоль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/л; Стабильность реагента после вскрытия флакона не менее 24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lastRenderedPageBreak/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Default="00034D0B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</w:p>
        </w:tc>
      </w:tr>
      <w:tr w:rsidR="00034D0B" w:rsidRPr="008B5840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Pr="00C5652D" w:rsidRDefault="00034D0B" w:rsidP="000F33CE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Default="00034D0B" w:rsidP="00C5652D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Набор реагентов для определения неорганического фосфора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Default="00034D0B" w:rsidP="00C5652D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Реактив, предназначенный для использования совместно с исходным изделием для ИВД для выполнения особой функции в анализе, который используется для количественного определения неорганического фосфата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inorganic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phosphate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) (PO43-) [фосфор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phosphorus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)] в клиническом образце. Количество выполняемых тестов: ≥ 200 Штука. Назначение: для ручной постановки анализа и анализаторов открытого типа. Метод: УФ, без депротеинизации; Форма выпуска: жидкий монореагент;</w:t>
            </w:r>
          </w:p>
          <w:p w:rsidR="00034D0B" w:rsidRPr="008B5840" w:rsidRDefault="00034D0B" w:rsidP="00C5652D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Образец для анализа: сыворотка крови, плазма крови, моча; Состав: реагент не менее 1 × 100 мл, калибратор не менее 1 × 3 мл; Предел линейности не менее 7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ммоль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/л; Стабильность реагента после вскрытия флакона не менее 24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Pr="00C5652D" w:rsidRDefault="00034D0B" w:rsidP="000F33CE">
            <w:pPr>
              <w:jc w:val="center"/>
              <w:rPr>
                <w:sz w:val="18"/>
                <w:szCs w:val="18"/>
              </w:rPr>
            </w:pPr>
            <w:r w:rsidRPr="00C5652D">
              <w:rPr>
                <w:sz w:val="18"/>
                <w:szCs w:val="18"/>
              </w:rPr>
              <w:t>3</w:t>
            </w:r>
          </w:p>
          <w:p w:rsidR="00034D0B" w:rsidRPr="00C5652D" w:rsidRDefault="00034D0B" w:rsidP="000F33CE">
            <w:pPr>
              <w:jc w:val="center"/>
              <w:rPr>
                <w:sz w:val="18"/>
                <w:szCs w:val="18"/>
              </w:rPr>
            </w:pPr>
          </w:p>
        </w:tc>
      </w:tr>
      <w:tr w:rsidR="00034D0B" w:rsidRPr="004E4B7E" w:rsidTr="0017306E">
        <w:trPr>
          <w:trHeight w:val="69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Pr="00016976" w:rsidRDefault="00034D0B" w:rsidP="000F33CE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Default="005C0697" w:rsidP="00C5652D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Набор реагентов для определения активности щелочной фосфотазы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Pr="004E4B7E" w:rsidRDefault="00034D0B" w:rsidP="00C5652D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общей щелочной фосфатазы (ЩФ)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alkaline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phosphatase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(ALP)) в клиническом образце методом ферментного спектрофотометрического анализа. Количество выполняемых тестов: ≥ 400 Штука. Назначение: для анализаторов открытого типа и ручной постановки. Метод: кинетический,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ДЭА-буферный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раствор, субстрат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pNРР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, DGKC;  Форма выпуска: жидкий биреагент; Образец для анализа: сыворотка крови, плазма крови; Состав: реагент 1 не менее 2 × 80 мл, реагент 2 не менее 2 × 20 мл; Предел линейности не менее 1200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Е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/л; Стабильность рабочего реагента не менее 3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Default="00034D0B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</w:p>
        </w:tc>
      </w:tr>
      <w:tr w:rsidR="00034D0B" w:rsidRPr="00B22B94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Pr="00B22B94" w:rsidRDefault="00034D0B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Pr="00B22B94" w:rsidRDefault="005C0697" w:rsidP="00B22B94">
            <w:pPr>
              <w:rPr>
                <w:sz w:val="18"/>
                <w:szCs w:val="18"/>
                <w:shd w:val="clear" w:color="auto" w:fill="FFFFFF"/>
              </w:rPr>
            </w:pPr>
            <w:r w:rsidRPr="00AC40EE">
              <w:rPr>
                <w:sz w:val="18"/>
                <w:szCs w:val="18"/>
              </w:rPr>
              <w:t xml:space="preserve">Набор реагентов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для определения концентрации креатинина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Pr="00B22B94" w:rsidRDefault="00034D0B" w:rsidP="00B22B94">
            <w:pPr>
              <w:rPr>
                <w:sz w:val="18"/>
                <w:szCs w:val="18"/>
              </w:rPr>
            </w:pPr>
            <w:r w:rsidRPr="00B22B94">
              <w:rPr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 w:rsidRPr="00B22B94">
              <w:rPr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 w:rsidRPr="00B22B94">
              <w:rPr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B22B94">
              <w:rPr>
                <w:sz w:val="18"/>
                <w:szCs w:val="18"/>
                <w:shd w:val="clear" w:color="auto" w:fill="FFFFFF"/>
              </w:rPr>
              <w:t>креатинина</w:t>
            </w:r>
            <w:proofErr w:type="spellEnd"/>
            <w:r w:rsidRPr="00B22B94">
              <w:rPr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B22B94">
              <w:rPr>
                <w:sz w:val="18"/>
                <w:szCs w:val="18"/>
                <w:shd w:val="clear" w:color="auto" w:fill="FFFFFF"/>
              </w:rPr>
              <w:t>creatinine</w:t>
            </w:r>
            <w:proofErr w:type="spellEnd"/>
            <w:r w:rsidRPr="00B22B94">
              <w:rPr>
                <w:sz w:val="18"/>
                <w:szCs w:val="18"/>
                <w:shd w:val="clear" w:color="auto" w:fill="FFFFFF"/>
              </w:rPr>
              <w:t xml:space="preserve">) в клиническом образце методом спектрофотометрического анализа. Количество выполняемых тестов: ≥ 400 Штука. Назначение: для анализаторов открытого типа и ручной постановки. </w:t>
            </w:r>
            <w:proofErr w:type="gramStart"/>
            <w:r w:rsidRPr="00B22B94">
              <w:rPr>
                <w:sz w:val="18"/>
                <w:szCs w:val="18"/>
                <w:shd w:val="clear" w:color="auto" w:fill="FFFFFF"/>
              </w:rPr>
              <w:t xml:space="preserve">Метод: кинетический Яффе без депротеинизации; Форма выпуска: жидкий биреагент; Образец для анализа: сыворотка крови, плазма крови, моча; Состав: реагент 1 не менее 1 × 100 мл, реагент 2 не менее 1 × 100 мл, калибратор не менее 1 × 3 мл;  Предел линейности не менее 1300 </w:t>
            </w:r>
            <w:proofErr w:type="spellStart"/>
            <w:r w:rsidRPr="00B22B94">
              <w:rPr>
                <w:sz w:val="18"/>
                <w:szCs w:val="18"/>
                <w:shd w:val="clear" w:color="auto" w:fill="FFFFFF"/>
              </w:rPr>
              <w:t>мкмоль</w:t>
            </w:r>
            <w:proofErr w:type="spellEnd"/>
            <w:r w:rsidRPr="00B22B94">
              <w:rPr>
                <w:sz w:val="18"/>
                <w:szCs w:val="18"/>
                <w:shd w:val="clear" w:color="auto" w:fill="FFFFFF"/>
              </w:rPr>
              <w:t>/л; Стабильность рабочего реагента не менее 2 суток.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Default="00034D0B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34D0B" w:rsidRPr="00B22B94" w:rsidRDefault="00034D0B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034D0B" w:rsidRPr="004E4B7E" w:rsidTr="0017306E">
        <w:trPr>
          <w:trHeight w:val="73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Pr="00016976" w:rsidRDefault="00034D0B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Default="005C0697" w:rsidP="005C0697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C40EE">
              <w:rPr>
                <w:sz w:val="18"/>
                <w:szCs w:val="18"/>
              </w:rPr>
              <w:t xml:space="preserve">Набор реагентов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для определения мочевины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0B" w:rsidRPr="004E4B7E" w:rsidRDefault="00034D0B" w:rsidP="00FD7912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мочевины в крови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blood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urea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nitrogen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(BUN)) и в других биологических жидкостях в клиническом образце методом ферментного спектрофотометрического анализа. Количество выполняемых тестов: ≥ 1000 Штука. Назначение: для ручной постановки анализа и анализаторов открытого типа. Метод: </w:t>
            </w: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УФ-кинетический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уреазный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глутаматдегидрогеназный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 выпуска: жидкий биреагент; Образец для анализа: сыворотка крови, плазма крови, моча; Состав: реагент 1 не менее 2 × 200 мл, реагент 2 не менее 2 × 50 мл, калибратор не менее 1 × 3 мл; Предел линейности не менее 50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ммоль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/л;  Стабильность реагентов после вскрытия флаконов не менее 24 месяцев.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0B" w:rsidRPr="004E4B7E" w:rsidRDefault="00034D0B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4D0B" w:rsidRPr="004E4B7E" w:rsidRDefault="00034D0B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C0697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97" w:rsidRPr="00016976" w:rsidRDefault="005C0697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7" w:rsidRDefault="005C0697" w:rsidP="005C0697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C40EE">
              <w:rPr>
                <w:sz w:val="18"/>
                <w:szCs w:val="18"/>
              </w:rPr>
              <w:t xml:space="preserve">Набор реагентов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для определения железа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7" w:rsidRDefault="005C0697" w:rsidP="00FD7912">
            <w:pPr>
              <w:rPr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железа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iron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 в клиническом образце методом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спектрофотометрии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. Количество выполняемых тестов: ≥ 400 Штука. Назначение: для ручной постановки анализа и анализаторов открытого типа.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Метод: колориметрический без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депротеинизации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феррозином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 Форма выпуска: жидкий биреагент; Образец для анализа: сыворотка крови, плазма крови; Состав: реагент 1 не менее 4 × 50 мл, реагент 2 не менее 2 × 25 мл, калибратор не менее 1 × 5 мл; Предел линейности не менее 200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мкмоль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/л;  Стабильность реагентов после вскрытия флаконов не менее 24 месяцев.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97" w:rsidRPr="004E4B7E" w:rsidRDefault="005C0697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97" w:rsidRDefault="005C0697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C0697" w:rsidRPr="004E4B7E" w:rsidRDefault="005C0697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5C0697" w:rsidRPr="008B5840" w:rsidTr="0017306E">
        <w:trPr>
          <w:trHeight w:val="73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97" w:rsidRPr="008B5840" w:rsidRDefault="005C0697" w:rsidP="000F33CE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7" w:rsidRDefault="005C0697" w:rsidP="005C0697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C40EE">
              <w:rPr>
                <w:sz w:val="18"/>
                <w:szCs w:val="18"/>
              </w:rPr>
              <w:t xml:space="preserve">Набор реагентов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для определения триглицеридов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7" w:rsidRDefault="005C0697" w:rsidP="00FD7912">
            <w:pPr>
              <w:rPr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триглицеридов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triglyceride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 в клиническом образце с использованием метода ферментного спектрофотометрического анализа. Количество выполняемых тестов: ≥ 1000 Штука. Назначение: для анализаторов открытого типа и ручной постановки. Метод: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энзиматический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колориметрический;   Форма выпуска: жидкий монореагент; Образец для анализа: сыворотка крови, плазма крови; Состав: реагент не менее 2 × 250 мл, калибратор не менее 1 × 3 мл; Предел линейности не менее 11,4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ммоль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/л; Стабильность реагента после вскрытия флакона не менее 24 месяцев.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97" w:rsidRPr="004E4B7E" w:rsidRDefault="005C0697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97" w:rsidRDefault="005C0697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C0697" w:rsidRPr="008B5840" w:rsidRDefault="005C0697" w:rsidP="000F33CE">
            <w:pPr>
              <w:jc w:val="center"/>
              <w:rPr>
                <w:sz w:val="18"/>
                <w:szCs w:val="18"/>
              </w:rPr>
            </w:pPr>
          </w:p>
        </w:tc>
      </w:tr>
      <w:tr w:rsidR="005C0697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97" w:rsidRPr="00016976" w:rsidRDefault="005C0697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7" w:rsidRDefault="005C0697" w:rsidP="00FD7912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сывороток </w:t>
            </w:r>
            <w:r w:rsidRPr="005C0697">
              <w:rPr>
                <w:color w:val="000000" w:themeColor="text1"/>
                <w:sz w:val="18"/>
                <w:szCs w:val="18"/>
                <w:shd w:val="clear" w:color="auto" w:fill="FFFFFF"/>
              </w:rPr>
              <w:t>контрольных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5C0697">
              <w:rPr>
                <w:sz w:val="18"/>
                <w:szCs w:val="18"/>
              </w:rPr>
              <w:t>на основе человеческой матрицы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уровень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7" w:rsidRDefault="005C0697" w:rsidP="00FD7912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Множественные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аналиты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клинической химии ИВД, контрольный материал. Материал, используемый для подтверждения качества анализа, предназначенный для использования при количественном определении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множества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аналитов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клинической химии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multiple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clinical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chemistry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analytes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), которые совместно образуют полноценный биохимический профиль. Назначение: контроль правильности и воспроизводимости результатов исследования при определении количественных методов клинических биохимических исследований. Количество аттестованных показателей: не менее 26; Уровень 1;</w:t>
            </w:r>
          </w:p>
          <w:p w:rsidR="005C0697" w:rsidRDefault="005C0697" w:rsidP="00FD7912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Форма выпуска: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лиофилизат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Состав: сыворотка контрольная не менее 10 × 5 мл; </w:t>
            </w:r>
          </w:p>
          <w:p w:rsidR="005C0697" w:rsidRPr="00FD7912" w:rsidRDefault="005C0697" w:rsidP="00FD7912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Стабильность контролей после восстановления не менее 1 месяца.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97" w:rsidRPr="004E4B7E" w:rsidRDefault="005C0697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lastRenderedPageBreak/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97" w:rsidRDefault="005C0697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C0697" w:rsidRPr="004E4B7E" w:rsidRDefault="005C0697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5C0697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97" w:rsidRPr="00016976" w:rsidRDefault="005C0697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7" w:rsidRPr="005C0697" w:rsidRDefault="005C0697" w:rsidP="005C0697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сывороток </w:t>
            </w:r>
            <w:r w:rsidRPr="005C0697">
              <w:rPr>
                <w:color w:val="000000" w:themeColor="text1"/>
                <w:sz w:val="18"/>
                <w:szCs w:val="18"/>
                <w:shd w:val="clear" w:color="auto" w:fill="FFFFFF"/>
              </w:rPr>
              <w:t>контрольных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5C0697">
              <w:rPr>
                <w:sz w:val="18"/>
                <w:szCs w:val="18"/>
              </w:rPr>
              <w:t>на основе человеческой матрицы</w:t>
            </w:r>
            <w:r>
              <w:rPr>
                <w:sz w:val="18"/>
                <w:szCs w:val="18"/>
              </w:rPr>
              <w:t>, уровень 2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7" w:rsidRDefault="005C0697" w:rsidP="000F33CE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Множественные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аналиты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клинической химии ИВД, контрольный материал. Материал, используемый для подтверждения качества анализа, предназначенный для использования при количественном определении множества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аналитов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клинической химии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multiple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clinical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chemistry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analytes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), которые совместно образуют полноценный биохимический профиль. Назначение: контроль правильности и воспроизводимости результатов исследования при определении количественных методов клинических биохимических исследований. Количество аттестованных показателей: не менее 26; Уровень 2;</w:t>
            </w:r>
          </w:p>
          <w:p w:rsidR="005C0697" w:rsidRPr="00FD7912" w:rsidRDefault="005C0697" w:rsidP="00FD7912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Форма выпуска: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лиофилизат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; Состав: сыворотка контрольная не менее 10 × 5 мл; Стабильность контролей после восстановления не менее 1 месяца.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97" w:rsidRPr="004E4B7E" w:rsidRDefault="005C0697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97" w:rsidRDefault="005C0697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C0697" w:rsidRPr="004E4B7E" w:rsidRDefault="005C0697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5C0697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97" w:rsidRPr="00016976" w:rsidRDefault="005C0697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7" w:rsidRDefault="005C0697" w:rsidP="009B4FC2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иммуноферментного выявления иммуноглобулинов классов G и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Mк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вирусу гепатита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</w:t>
            </w:r>
            <w:proofErr w:type="gramEnd"/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7" w:rsidRDefault="005C0697" w:rsidP="009B4FC2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качественного определения антител класса иммуноглобулин G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IgG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) и иммуноглобулин M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IgM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) к вирусу гепатита C 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Hepatitis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C) в клиническом образце методом иммуноферментного анализа (ИФА). </w:t>
            </w:r>
          </w:p>
          <w:p w:rsidR="005C0697" w:rsidRPr="004E4B7E" w:rsidRDefault="005C0697" w:rsidP="009B4FC2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Метод: «сэндвич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»-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вариант ИФА,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двухстадийный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Формат планшета: разборный; Количество определений: 96; Количество лунок, используемых для внесения контролей при использовании целого планшета: не более 4; Чувствительность: не менее 100%; Специфичность: не менее 100%; Образец для анализа: сыворотка (плазма) крови человека и препараты крови человека (иммуноглобулины, интерфероны,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криопреципитат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альбумин); Количество образца для анализа: не более 40 мкл; Объемное равенство контролей и образцов; Суммарное время инкубации не более 1 ч. 30 мин; Одинаковые алгоритмы промывок после инкубации; Отсутствие финальной отмывки водой; Отсутствие предварительной промывки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планшета;Постановка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анализа с использованием шейкера – по выбору; Стандартизация условий проведения ферментативной реакции с хромогеном при 18-25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Режим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фотометрирования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двухволновый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без дополнительной математической обработки; Количество вариантов проведения ИФА не менее двух; Взаимозаменяемость неспецифических компонентов; Наличие возможности спектрофотометрического контроля внесения образцов и реагентов; Возможность использования для работы на автоматических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ИФА-анализаторах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открытого типа; Для хранения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стрипов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набор должен быть укомплектован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фольгированным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пакетом с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влагопоглотителем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и замком типа «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зип-лок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»; Возможность транспортирования при температуре до +25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не менее 10 суток.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97" w:rsidRPr="004E4B7E" w:rsidRDefault="005C0697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97" w:rsidRDefault="005C0697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5C0697" w:rsidRPr="004E4B7E" w:rsidRDefault="005C0697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5C0697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97" w:rsidRPr="00016976" w:rsidRDefault="005C0697" w:rsidP="000F33CE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7" w:rsidRDefault="005C0697" w:rsidP="005C0697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иммуноферментного подтверждения  наличия иммуноглобулинов классов G и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Mк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вирусу гепатита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</w:t>
            </w:r>
            <w:proofErr w:type="gramEnd"/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7" w:rsidRPr="009B4FC2" w:rsidRDefault="005C0697" w:rsidP="009B4FC2">
            <w:pPr>
              <w:rPr>
                <w:sz w:val="18"/>
                <w:szCs w:val="18"/>
              </w:rPr>
            </w:pPr>
            <w:r w:rsidRPr="009B4FC2">
              <w:rPr>
                <w:sz w:val="18"/>
                <w:szCs w:val="18"/>
              </w:rPr>
              <w:t xml:space="preserve">Набор реагентов </w:t>
            </w:r>
            <w:r>
              <w:rPr>
                <w:color w:val="000000" w:themeColor="text1"/>
                <w:sz w:val="18"/>
                <w:szCs w:val="18"/>
              </w:rPr>
              <w:t>и других связанных с ними материалов, предназначенный</w:t>
            </w:r>
            <w:r w:rsidRPr="009B4FC2">
              <w:rPr>
                <w:sz w:val="18"/>
                <w:szCs w:val="18"/>
              </w:rPr>
              <w:t xml:space="preserve"> для иммуноферментного выявления и подтверждения наличия иммуноглобулинов классов G и М  к вирусу гепатита</w:t>
            </w:r>
            <w:proofErr w:type="gramStart"/>
            <w:r w:rsidRPr="009B4FC2">
              <w:rPr>
                <w:sz w:val="18"/>
                <w:szCs w:val="18"/>
              </w:rPr>
              <w:t xml:space="preserve"> С</w:t>
            </w:r>
            <w:proofErr w:type="gramEnd"/>
          </w:p>
          <w:p w:rsidR="005C0697" w:rsidRPr="009B4FC2" w:rsidRDefault="005C0697" w:rsidP="009B4FC2">
            <w:pPr>
              <w:rPr>
                <w:sz w:val="18"/>
                <w:szCs w:val="18"/>
              </w:rPr>
            </w:pPr>
            <w:r w:rsidRPr="009B4FC2">
              <w:rPr>
                <w:sz w:val="18"/>
                <w:szCs w:val="18"/>
              </w:rPr>
              <w:t>Метод: «сэндвич</w:t>
            </w:r>
            <w:proofErr w:type="gramStart"/>
            <w:r w:rsidRPr="009B4FC2">
              <w:rPr>
                <w:sz w:val="18"/>
                <w:szCs w:val="18"/>
              </w:rPr>
              <w:t>»-</w:t>
            </w:r>
            <w:proofErr w:type="gramEnd"/>
            <w:r w:rsidRPr="009B4FC2">
              <w:rPr>
                <w:sz w:val="18"/>
                <w:szCs w:val="18"/>
              </w:rPr>
              <w:t xml:space="preserve">вариант непрямой ИФА, </w:t>
            </w:r>
            <w:proofErr w:type="spellStart"/>
            <w:r w:rsidRPr="009B4FC2">
              <w:rPr>
                <w:sz w:val="18"/>
                <w:szCs w:val="18"/>
              </w:rPr>
              <w:t>двухстадийный</w:t>
            </w:r>
            <w:proofErr w:type="spellEnd"/>
            <w:r w:rsidRPr="009B4FC2">
              <w:rPr>
                <w:sz w:val="18"/>
                <w:szCs w:val="18"/>
              </w:rPr>
              <w:t>; Формат планшета: разборный; Количество определений: 48; Количество лунок, используемых для внесения контролей при использовании целого планшета: не более 6; Расположение лунок с антигенами в планшете: вертикальное; Чувствительность не менее 100%; Специфичность не менее 100%; Образец для анализа:</w:t>
            </w:r>
            <w:r w:rsidRPr="009B4FC2">
              <w:rPr>
                <w:color w:val="000000"/>
                <w:sz w:val="18"/>
                <w:szCs w:val="18"/>
              </w:rPr>
              <w:t xml:space="preserve"> сыворотка крови, плазма крови; </w:t>
            </w:r>
            <w:r w:rsidRPr="009B4FC2">
              <w:rPr>
                <w:sz w:val="18"/>
                <w:szCs w:val="18"/>
              </w:rPr>
              <w:t>Количество образца для анализа:</w:t>
            </w:r>
            <w:r w:rsidRPr="009B4FC2">
              <w:rPr>
                <w:color w:val="000000"/>
                <w:sz w:val="18"/>
                <w:szCs w:val="18"/>
              </w:rPr>
              <w:t xml:space="preserve"> не более </w:t>
            </w:r>
            <w:r w:rsidRPr="009B4FC2">
              <w:rPr>
                <w:sz w:val="18"/>
                <w:szCs w:val="18"/>
              </w:rPr>
              <w:t xml:space="preserve">80 мкл; Объемное равенство контролей и образцов; Суммарное время инкубации не более 1 ч. 30 мин; Одинаковые алгоритмы промывок после инкубации; Отсутствие предварительной промывки; </w:t>
            </w:r>
            <w:r w:rsidRPr="009B4FC2">
              <w:rPr>
                <w:color w:val="000000"/>
                <w:sz w:val="18"/>
                <w:szCs w:val="18"/>
              </w:rPr>
              <w:t>Отсутствие финальной отмывки водой</w:t>
            </w:r>
            <w:r w:rsidRPr="009B4FC2">
              <w:rPr>
                <w:sz w:val="18"/>
                <w:szCs w:val="18"/>
              </w:rPr>
              <w:t xml:space="preserve">; </w:t>
            </w:r>
            <w:r w:rsidRPr="009B4FC2">
              <w:rPr>
                <w:color w:val="000000"/>
                <w:sz w:val="18"/>
                <w:szCs w:val="18"/>
              </w:rPr>
              <w:t>Постановка анализа с использованием шейкера – по выбору; Стандартизация условий проведения ферментативной реакции с хромогеном в термостате при 18-25</w:t>
            </w:r>
            <w:proofErr w:type="gramStart"/>
            <w:r w:rsidRPr="009B4FC2">
              <w:rPr>
                <w:color w:val="000000"/>
                <w:sz w:val="18"/>
                <w:szCs w:val="18"/>
              </w:rPr>
              <w:t>ºС</w:t>
            </w:r>
            <w:proofErr w:type="gramEnd"/>
            <w:r w:rsidRPr="009B4FC2">
              <w:rPr>
                <w:color w:val="000000"/>
                <w:sz w:val="18"/>
                <w:szCs w:val="18"/>
              </w:rPr>
              <w:t xml:space="preserve">; Режим </w:t>
            </w:r>
            <w:proofErr w:type="spellStart"/>
            <w:r w:rsidRPr="009B4FC2">
              <w:rPr>
                <w:color w:val="000000"/>
                <w:sz w:val="18"/>
                <w:szCs w:val="18"/>
              </w:rPr>
              <w:t>фотометрирования</w:t>
            </w:r>
            <w:proofErr w:type="spellEnd"/>
            <w:r w:rsidRPr="009B4FC2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9B4FC2">
              <w:rPr>
                <w:color w:val="000000"/>
                <w:sz w:val="18"/>
                <w:szCs w:val="18"/>
              </w:rPr>
              <w:t>двухволновый</w:t>
            </w:r>
            <w:proofErr w:type="spellEnd"/>
            <w:r w:rsidRPr="009B4FC2">
              <w:rPr>
                <w:color w:val="000000"/>
                <w:sz w:val="18"/>
                <w:szCs w:val="18"/>
              </w:rPr>
              <w:t>, без дополнительной математической обработки; Количество вариантов проведения ИФА не менее</w:t>
            </w:r>
            <w:r w:rsidRPr="009B4FC2">
              <w:rPr>
                <w:sz w:val="18"/>
                <w:szCs w:val="18"/>
              </w:rPr>
              <w:t xml:space="preserve"> двух; </w:t>
            </w:r>
            <w:r w:rsidRPr="009B4FC2">
              <w:rPr>
                <w:color w:val="000000"/>
                <w:sz w:val="18"/>
                <w:szCs w:val="18"/>
              </w:rPr>
              <w:t xml:space="preserve">Взаимозаменяемость неспецифических компонентов; </w:t>
            </w:r>
            <w:r w:rsidRPr="009B4FC2">
              <w:rPr>
                <w:sz w:val="18"/>
                <w:szCs w:val="18"/>
              </w:rPr>
              <w:t xml:space="preserve">Наличие возможности спектрофотометрического контроля внесения образцов и реагентов; </w:t>
            </w:r>
            <w:r w:rsidRPr="009B4FC2">
              <w:rPr>
                <w:color w:val="000000"/>
                <w:sz w:val="18"/>
                <w:szCs w:val="18"/>
              </w:rPr>
              <w:t xml:space="preserve">Возможность использования </w:t>
            </w:r>
            <w:r w:rsidRPr="009B4FC2">
              <w:rPr>
                <w:sz w:val="18"/>
                <w:szCs w:val="18"/>
              </w:rPr>
              <w:t xml:space="preserve">для работы на автоматических </w:t>
            </w:r>
            <w:proofErr w:type="spellStart"/>
            <w:r w:rsidRPr="009B4FC2">
              <w:rPr>
                <w:sz w:val="18"/>
                <w:szCs w:val="18"/>
              </w:rPr>
              <w:t>ИФА-анализаторах</w:t>
            </w:r>
            <w:proofErr w:type="spellEnd"/>
            <w:r w:rsidRPr="009B4FC2">
              <w:rPr>
                <w:sz w:val="18"/>
                <w:szCs w:val="18"/>
              </w:rPr>
              <w:t xml:space="preserve"> открытого типа</w:t>
            </w:r>
            <w:r w:rsidRPr="009B4FC2">
              <w:rPr>
                <w:color w:val="000000"/>
                <w:sz w:val="18"/>
                <w:szCs w:val="18"/>
              </w:rPr>
              <w:t xml:space="preserve">; </w:t>
            </w:r>
            <w:r w:rsidRPr="009B4FC2">
              <w:rPr>
                <w:sz w:val="18"/>
                <w:szCs w:val="18"/>
              </w:rPr>
              <w:t xml:space="preserve">Для хранения </w:t>
            </w:r>
            <w:proofErr w:type="spellStart"/>
            <w:r w:rsidRPr="009B4FC2">
              <w:rPr>
                <w:sz w:val="18"/>
                <w:szCs w:val="18"/>
              </w:rPr>
              <w:t>стрипов</w:t>
            </w:r>
            <w:proofErr w:type="spellEnd"/>
            <w:r w:rsidRPr="009B4FC2">
              <w:rPr>
                <w:sz w:val="18"/>
                <w:szCs w:val="18"/>
              </w:rPr>
              <w:t xml:space="preserve"> набор должен быть укомплектован </w:t>
            </w:r>
            <w:proofErr w:type="spellStart"/>
            <w:r w:rsidRPr="009B4FC2">
              <w:rPr>
                <w:sz w:val="18"/>
                <w:szCs w:val="18"/>
              </w:rPr>
              <w:t>фольгированным</w:t>
            </w:r>
            <w:proofErr w:type="spellEnd"/>
            <w:r w:rsidRPr="009B4FC2">
              <w:rPr>
                <w:sz w:val="18"/>
                <w:szCs w:val="18"/>
              </w:rPr>
              <w:t xml:space="preserve"> пакетом с </w:t>
            </w:r>
            <w:proofErr w:type="spellStart"/>
            <w:r w:rsidRPr="009B4FC2">
              <w:rPr>
                <w:sz w:val="18"/>
                <w:szCs w:val="18"/>
              </w:rPr>
              <w:t>влагопоглотителем</w:t>
            </w:r>
            <w:proofErr w:type="spellEnd"/>
            <w:r w:rsidRPr="009B4FC2">
              <w:rPr>
                <w:sz w:val="18"/>
                <w:szCs w:val="18"/>
              </w:rPr>
              <w:t xml:space="preserve"> и замком типа «</w:t>
            </w:r>
            <w:proofErr w:type="spellStart"/>
            <w:r w:rsidRPr="009B4FC2">
              <w:rPr>
                <w:sz w:val="18"/>
                <w:szCs w:val="18"/>
              </w:rPr>
              <w:t>зип-лок</w:t>
            </w:r>
            <w:proofErr w:type="spellEnd"/>
            <w:r w:rsidRPr="009B4FC2">
              <w:rPr>
                <w:sz w:val="18"/>
                <w:szCs w:val="18"/>
              </w:rPr>
              <w:t xml:space="preserve">»; Возможность  транспортирования при температуре до </w:t>
            </w:r>
            <w:r>
              <w:rPr>
                <w:sz w:val="18"/>
                <w:szCs w:val="18"/>
              </w:rPr>
              <w:t>+</w:t>
            </w:r>
            <w:r w:rsidRPr="009B4FC2">
              <w:rPr>
                <w:sz w:val="18"/>
                <w:szCs w:val="18"/>
              </w:rPr>
              <w:t>25</w:t>
            </w:r>
            <w:proofErr w:type="gramStart"/>
            <w:r w:rsidRPr="009B4FC2">
              <w:rPr>
                <w:sz w:val="18"/>
                <w:szCs w:val="18"/>
              </w:rPr>
              <w:t>ºС</w:t>
            </w:r>
            <w:proofErr w:type="gramEnd"/>
            <w:r w:rsidRPr="009B4FC2">
              <w:rPr>
                <w:sz w:val="18"/>
                <w:szCs w:val="18"/>
              </w:rPr>
              <w:t xml:space="preserve"> не менее 10 суток.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97" w:rsidRPr="004E4B7E" w:rsidRDefault="005C0697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97" w:rsidRPr="004E4B7E" w:rsidRDefault="005C0697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C0697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97" w:rsidRPr="009B4FC2" w:rsidRDefault="005C0697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7" w:rsidRPr="0091227A" w:rsidRDefault="0091227A" w:rsidP="009B4F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Набор реагентов для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иммуноферментного выявления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HBsAg</w:t>
            </w:r>
            <w:proofErr w:type="spellEnd"/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7" w:rsidRDefault="005C0697" w:rsidP="009B4FC2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</w:rPr>
              <w:t>Набор реагентов и других связанных с ними материалов, предназначенный для качественного определения поверхностного антигена вируса гепатита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 xml:space="preserve"> В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Hepatitis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B) в клиническом образце методом иммуноферментного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анализа (ИФА).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Количество выполняемых тестов ≥ 96 штук; Назначение: для ручной постановки. </w:t>
            </w:r>
          </w:p>
          <w:p w:rsidR="005C0697" w:rsidRPr="004E4B7E" w:rsidRDefault="005C0697" w:rsidP="009B4FC2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Метод: сэндвич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»-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вариант ИФА, одностадийный; Формат планшета: разборный; Количество лунок, используемых для внесения контролей при использовании целого планшета: не более 5; Чувствительность не более 0,05 МЕ/мл (возможна 0,01 МЕ/мл); Образец для анализа: сыворотка крови, плазма крови, препараты крови (иммуноглобулины, интерфероны,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криопреципитат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, альбумин); Количество образца для анализа: не более 100 мкл; Объемное равенство контролей и образцов; Суммарное время инкубации не более 1 ч. 20 мин; Отсутствие предварительной промывки планшета; Отсутствие финальной отмывки водой; Постановка анализа с использованием шейкера; Стандартизация условий проведения ферментативной реакции с хромогеном в термостате при 37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Режим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фотометрирования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двухволновый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без дополнительной математической обработки; Количество вариантов проведения ИФА не менее четырех; Взаимозаменяемость неспецифических компонентов; Возможность использования для работы на автоматических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ИФА-анализаторах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открытого типа; Для хранения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стрипов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набор должен быть укомплектован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фольгированным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пакетом с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влагопоглотителем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и замком типа «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зип-лок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»; Возможность транспортирования при температуре до +25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не менее 10 суток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697" w:rsidRPr="004E4B7E" w:rsidRDefault="005C0697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lastRenderedPageBreak/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697" w:rsidRPr="004E4B7E" w:rsidRDefault="005C0697" w:rsidP="00675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1227A" w:rsidRPr="004E4B7E" w:rsidTr="0017306E">
        <w:trPr>
          <w:trHeight w:val="7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27A" w:rsidRPr="00016976" w:rsidRDefault="0091227A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A" w:rsidRPr="0091227A" w:rsidRDefault="0091227A" w:rsidP="009122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Набор реагентов для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иммуноферментного качественного и количественного определения антител к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HBsAg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вируса гепатита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В</w:t>
            </w:r>
            <w:proofErr w:type="gramEnd"/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A" w:rsidRDefault="0091227A" w:rsidP="009B4F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Набор реагентов и других связанных с ними материалов, предназначенный для качественного и количественного определения общих антител к оболочке вируса гепатита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 xml:space="preserve"> В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Hepatitis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B) в клиническом образце методом иммуноферментного анализа (ИФА).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Количество выполняемых тестов ≥ 96 штук; Назначение: для ручной постановки анализа и работы на анализаторах открытого типа. </w:t>
            </w:r>
          </w:p>
          <w:p w:rsidR="0091227A" w:rsidRPr="004E4B7E" w:rsidRDefault="0091227A" w:rsidP="009B4FC2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Метод: «сэндвич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»-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вариант ИФА,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двухстадийный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Формат планшета:  разборный; Диапазон измерений не уже 0-1000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мМЕ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/мл; Количество калибраторов: не менее 5; Концентрации калибраторов в разных сериях наборов не изменяются; Чувствительность не более 2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мМЕ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/мл; Специфичность не менее 100%; Образец для анализа: сыворотка крови, плазма крови; Количество образца для анализа: не более 100 мкл;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Объемное равенство контролей и образцов; Суммарное время инкубации не более 1 ч. 25 мин; Одинаковые алгоритмы промывок после инкубации; Отсутствие предварительной промывки планшета; Отсутствие финальной отмывки водой; Постановка анализа с использованием шейкера – по выбору; Форма раствора конъюгата: готов к использованию; Форма раствора ТМБ: готов к использованию; Режим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фотометрирования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двухволновый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, без дополнительной математической обработки;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Количество вариантов проведения ИФА не менее четырех; Взаимозаменяемость неспецифических компонентов; Для хранения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стрипов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набор должен быть укомплектован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фольгированным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пакетом с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влагопоглотителем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и замком типа «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зип-лок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»; Возможность транспортирования при температуре до +25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не менее 10 суток.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27A" w:rsidRPr="004E4B7E" w:rsidRDefault="0091227A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27A" w:rsidRPr="004E4B7E" w:rsidRDefault="0091227A" w:rsidP="00675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1227A" w:rsidRPr="004E4B7E" w:rsidTr="0017306E">
        <w:trPr>
          <w:trHeight w:val="7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27A" w:rsidRPr="00016976" w:rsidRDefault="0091227A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A" w:rsidRPr="0091227A" w:rsidRDefault="0091227A" w:rsidP="000F33C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Набор реагентов для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иммуноферментного подтверждения наличия</w:t>
            </w:r>
            <w:r w:rsidRPr="0091227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HBsAg</w:t>
            </w:r>
            <w:proofErr w:type="spellEnd"/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A" w:rsidRPr="00675E48" w:rsidRDefault="0091227A" w:rsidP="00A5418B">
            <w:pPr>
              <w:rPr>
                <w:sz w:val="18"/>
                <w:szCs w:val="18"/>
              </w:rPr>
            </w:pPr>
            <w:r w:rsidRPr="00675E48">
              <w:rPr>
                <w:sz w:val="18"/>
                <w:szCs w:val="18"/>
              </w:rPr>
              <w:t xml:space="preserve">Набор реагентов </w:t>
            </w:r>
            <w:r w:rsidRPr="00675E48">
              <w:rPr>
                <w:color w:val="000000" w:themeColor="text1"/>
                <w:sz w:val="18"/>
                <w:szCs w:val="18"/>
              </w:rPr>
              <w:t xml:space="preserve">и </w:t>
            </w:r>
            <w:proofErr w:type="gramStart"/>
            <w:r w:rsidRPr="00675E48">
              <w:rPr>
                <w:color w:val="000000" w:themeColor="text1"/>
                <w:sz w:val="18"/>
                <w:szCs w:val="18"/>
              </w:rPr>
              <w:t>других</w:t>
            </w:r>
            <w:proofErr w:type="gramEnd"/>
            <w:r w:rsidRPr="00675E48">
              <w:rPr>
                <w:color w:val="000000" w:themeColor="text1"/>
                <w:sz w:val="18"/>
                <w:szCs w:val="18"/>
              </w:rPr>
              <w:t xml:space="preserve"> связанных с ними материалов, предназначенный</w:t>
            </w:r>
            <w:r w:rsidRPr="00675E48">
              <w:rPr>
                <w:sz w:val="18"/>
                <w:szCs w:val="18"/>
              </w:rPr>
              <w:t xml:space="preserve"> для иммуноферментного выявления и подтверждения присутствия </w:t>
            </w:r>
            <w:proofErr w:type="spellStart"/>
            <w:r w:rsidRPr="00675E48">
              <w:rPr>
                <w:sz w:val="18"/>
                <w:szCs w:val="18"/>
              </w:rPr>
              <w:t>HBsAg</w:t>
            </w:r>
            <w:proofErr w:type="spellEnd"/>
            <w:r w:rsidRPr="00675E48">
              <w:rPr>
                <w:sz w:val="18"/>
                <w:szCs w:val="18"/>
              </w:rPr>
              <w:t>. Метод: «сэндвич</w:t>
            </w:r>
            <w:proofErr w:type="gramStart"/>
            <w:r w:rsidRPr="00675E48">
              <w:rPr>
                <w:sz w:val="18"/>
                <w:szCs w:val="18"/>
              </w:rPr>
              <w:t>»-</w:t>
            </w:r>
            <w:proofErr w:type="gramEnd"/>
            <w:r w:rsidRPr="00675E48">
              <w:rPr>
                <w:sz w:val="18"/>
                <w:szCs w:val="18"/>
              </w:rPr>
              <w:t xml:space="preserve">вариант ИФА, </w:t>
            </w:r>
            <w:r w:rsidRPr="00675E48">
              <w:rPr>
                <w:color w:val="000000"/>
                <w:sz w:val="18"/>
                <w:szCs w:val="18"/>
              </w:rPr>
              <w:t>конкурентный</w:t>
            </w:r>
            <w:r w:rsidRPr="00675E48">
              <w:rPr>
                <w:sz w:val="18"/>
                <w:szCs w:val="18"/>
              </w:rPr>
              <w:t xml:space="preserve">, </w:t>
            </w:r>
            <w:r w:rsidRPr="00675E48">
              <w:rPr>
                <w:color w:val="000000"/>
                <w:sz w:val="18"/>
                <w:szCs w:val="18"/>
              </w:rPr>
              <w:t xml:space="preserve">одностадийный; </w:t>
            </w:r>
            <w:r w:rsidRPr="00675E48">
              <w:rPr>
                <w:sz w:val="18"/>
                <w:szCs w:val="18"/>
              </w:rPr>
              <w:t>Формат планшета: разборный ; Количество определений: 48; Количество лунок, используемых для внесения контролей при использовании целого планшета: не более 8; Чувствительность не более 0,05 МЕ/мл (возможна 0,01 МЕ/мл); Образец для анализа:</w:t>
            </w:r>
            <w:r w:rsidRPr="00675E48">
              <w:rPr>
                <w:color w:val="000000"/>
                <w:sz w:val="18"/>
                <w:szCs w:val="18"/>
              </w:rPr>
              <w:t xml:space="preserve"> сыворотка крови, плазма крови; </w:t>
            </w:r>
            <w:r w:rsidRPr="00675E48">
              <w:rPr>
                <w:sz w:val="18"/>
                <w:szCs w:val="18"/>
              </w:rPr>
              <w:t xml:space="preserve">Количество образца для анализа: не более 200 мкл; Объемное равенство контролей и образцов; </w:t>
            </w:r>
            <w:r w:rsidRPr="00675E48">
              <w:rPr>
                <w:color w:val="000000"/>
                <w:sz w:val="18"/>
                <w:szCs w:val="18"/>
              </w:rPr>
              <w:t>Суммарное время инкубации не более 1 ч. 20 мин; Отсутствие предварительной промывки планшета; Отсутствие финальной отмывки водой</w:t>
            </w:r>
            <w:r w:rsidRPr="00675E48">
              <w:rPr>
                <w:sz w:val="18"/>
                <w:szCs w:val="18"/>
              </w:rPr>
              <w:t xml:space="preserve">; </w:t>
            </w:r>
            <w:r w:rsidRPr="00675E48">
              <w:rPr>
                <w:color w:val="000000"/>
                <w:sz w:val="18"/>
                <w:szCs w:val="18"/>
              </w:rPr>
              <w:t>Постановка анализа с использованием шейкера; Стандартизация условий проведения ферментативной реакции с хромогеном в термостате  при 37</w:t>
            </w:r>
            <w:proofErr w:type="gramStart"/>
            <w:r w:rsidRPr="00675E48">
              <w:rPr>
                <w:color w:val="000000"/>
                <w:sz w:val="18"/>
                <w:szCs w:val="18"/>
              </w:rPr>
              <w:t>ºС</w:t>
            </w:r>
            <w:proofErr w:type="gramEnd"/>
            <w:r w:rsidRPr="00675E48">
              <w:rPr>
                <w:color w:val="000000"/>
                <w:sz w:val="18"/>
                <w:szCs w:val="18"/>
              </w:rPr>
              <w:t xml:space="preserve">; Режим </w:t>
            </w:r>
            <w:proofErr w:type="spellStart"/>
            <w:r w:rsidRPr="00675E48">
              <w:rPr>
                <w:color w:val="000000"/>
                <w:sz w:val="18"/>
                <w:szCs w:val="18"/>
              </w:rPr>
              <w:t>фотометрирования</w:t>
            </w:r>
            <w:proofErr w:type="spellEnd"/>
            <w:r w:rsidRPr="00675E48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675E48">
              <w:rPr>
                <w:color w:val="000000"/>
                <w:sz w:val="18"/>
                <w:szCs w:val="18"/>
              </w:rPr>
              <w:t>двухволновый</w:t>
            </w:r>
            <w:proofErr w:type="spellEnd"/>
            <w:r w:rsidRPr="00675E48">
              <w:rPr>
                <w:color w:val="000000"/>
                <w:sz w:val="18"/>
                <w:szCs w:val="18"/>
              </w:rPr>
              <w:t xml:space="preserve">, без дополнительной математической обработки; Количество вариантов проведения ИФА не менее четырех; Взаимозаменяемость неспецифических компонентов; </w:t>
            </w:r>
            <w:r w:rsidRPr="00675E48">
              <w:rPr>
                <w:sz w:val="18"/>
                <w:szCs w:val="18"/>
              </w:rPr>
              <w:t xml:space="preserve">Возможность использования для работы на автоматических </w:t>
            </w:r>
            <w:proofErr w:type="spellStart"/>
            <w:r w:rsidRPr="00675E48">
              <w:rPr>
                <w:sz w:val="18"/>
                <w:szCs w:val="18"/>
              </w:rPr>
              <w:t>ИФА-анализаторах</w:t>
            </w:r>
            <w:proofErr w:type="spellEnd"/>
            <w:r w:rsidRPr="00675E48">
              <w:rPr>
                <w:sz w:val="18"/>
                <w:szCs w:val="18"/>
              </w:rPr>
              <w:t xml:space="preserve"> открытого типа</w:t>
            </w:r>
            <w:r w:rsidRPr="00675E48">
              <w:rPr>
                <w:color w:val="000000"/>
                <w:sz w:val="18"/>
                <w:szCs w:val="18"/>
              </w:rPr>
              <w:t>;</w:t>
            </w:r>
            <w:r w:rsidRPr="00675E48">
              <w:rPr>
                <w:color w:val="7030A0"/>
                <w:sz w:val="18"/>
                <w:szCs w:val="18"/>
              </w:rPr>
              <w:t xml:space="preserve"> </w:t>
            </w:r>
            <w:r w:rsidRPr="00675E48">
              <w:rPr>
                <w:sz w:val="18"/>
                <w:szCs w:val="18"/>
              </w:rPr>
              <w:t xml:space="preserve">Для хранения </w:t>
            </w:r>
            <w:proofErr w:type="spellStart"/>
            <w:r w:rsidRPr="00675E48">
              <w:rPr>
                <w:sz w:val="18"/>
                <w:szCs w:val="18"/>
              </w:rPr>
              <w:t>стрипов</w:t>
            </w:r>
            <w:proofErr w:type="spellEnd"/>
            <w:r w:rsidRPr="00675E48">
              <w:rPr>
                <w:sz w:val="18"/>
                <w:szCs w:val="18"/>
              </w:rPr>
              <w:t xml:space="preserve"> набор должен быть укомплектован </w:t>
            </w:r>
            <w:proofErr w:type="spellStart"/>
            <w:r w:rsidRPr="00675E48">
              <w:rPr>
                <w:sz w:val="18"/>
                <w:szCs w:val="18"/>
              </w:rPr>
              <w:t>фольгированным</w:t>
            </w:r>
            <w:proofErr w:type="spellEnd"/>
            <w:r w:rsidRPr="00675E48">
              <w:rPr>
                <w:sz w:val="18"/>
                <w:szCs w:val="18"/>
              </w:rPr>
              <w:t xml:space="preserve"> пакетом с </w:t>
            </w:r>
            <w:proofErr w:type="spellStart"/>
            <w:r w:rsidRPr="00675E48">
              <w:rPr>
                <w:sz w:val="18"/>
                <w:szCs w:val="18"/>
              </w:rPr>
              <w:t>влагопоглотителем</w:t>
            </w:r>
            <w:proofErr w:type="spellEnd"/>
            <w:r w:rsidRPr="00675E48">
              <w:rPr>
                <w:sz w:val="18"/>
                <w:szCs w:val="18"/>
              </w:rPr>
              <w:t xml:space="preserve"> и замком типа «</w:t>
            </w:r>
            <w:proofErr w:type="spellStart"/>
            <w:r w:rsidRPr="00675E48">
              <w:rPr>
                <w:sz w:val="18"/>
                <w:szCs w:val="18"/>
              </w:rPr>
              <w:t>зип-лок</w:t>
            </w:r>
            <w:proofErr w:type="spellEnd"/>
            <w:r w:rsidRPr="00675E48">
              <w:rPr>
                <w:sz w:val="18"/>
                <w:szCs w:val="18"/>
              </w:rPr>
              <w:t>» Возможность  транспортирования при температуре до +25</w:t>
            </w:r>
            <w:proofErr w:type="gramStart"/>
            <w:r w:rsidRPr="00675E48">
              <w:rPr>
                <w:sz w:val="18"/>
                <w:szCs w:val="18"/>
              </w:rPr>
              <w:t>ºС</w:t>
            </w:r>
            <w:proofErr w:type="gramEnd"/>
            <w:r w:rsidRPr="00675E48">
              <w:rPr>
                <w:sz w:val="18"/>
                <w:szCs w:val="18"/>
              </w:rPr>
              <w:t xml:space="preserve"> не менее 10 суток.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27A" w:rsidRPr="004E4B7E" w:rsidRDefault="0091227A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27A" w:rsidRDefault="0091227A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1227A" w:rsidRPr="004E4B7E" w:rsidRDefault="0091227A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91227A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27A" w:rsidRPr="00016976" w:rsidRDefault="0091227A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A" w:rsidRPr="004E4B7E" w:rsidRDefault="0091227A" w:rsidP="0091227A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иммуноферментного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определения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концентрации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тиреотропного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гормона (ТТГ)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A" w:rsidRPr="004E4B7E" w:rsidRDefault="0091227A" w:rsidP="00A5418B">
            <w:pPr>
              <w:rPr>
                <w:sz w:val="18"/>
                <w:szCs w:val="18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связанных с ними материалов, предназначенный для количественного определения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тиреотропного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гормона (ТТГ) в клиническом образце с использованием метода иммуноферментного анализа (ИФА). Количество выполняемых тестов ≥ 96 штук; Назначение: для ручной постановки анализа и работы на анализаторах открытого типа. Метод: «сэндвич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»-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вариант ИФА; одностадийный; Формат планшета: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разборный; Диапазон измерений не уже 0-16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мМЕ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/л; Количество калибраторов: не менее 6; Концентрации калибраторов в разных сериях наборов не изменяются; Чувствительность: не более 0,05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мМЕ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/л; Образец для анализа: сыворотка крови, плазма крови;  Количество образца для анализа: не более 50 мкл; Объемное равенство контролей и образцов; Суммарное время инкубации не более 1 ч. 15 мин; Отсутствие предварительной промывки планшета;  Отсутствие финальной отмывки водой; Постановка анализа с использованием шейкера; Стандартизация условий проведения ферментативной реакции с хромогеном в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термостатируемом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шейкере при 37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 раствора конъюгата: готов к использованию; Форма раствора ТМБ: готов к использованию; Режим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фотометрирования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двухволновый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без дополнительной математической обработки; Взаимозаменяемость неспецифических компонентов; Для хранения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стрипов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набор должен быть укомплектован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фольгированным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пакетом с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влагопоглотителем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и замком типа «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зип-лок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»; Возможность транспортирования при температуре до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+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25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не менее 10 суток.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27A" w:rsidRPr="004E4B7E" w:rsidRDefault="0091227A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lastRenderedPageBreak/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27A" w:rsidRDefault="0091227A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91227A" w:rsidRPr="004E4B7E" w:rsidRDefault="0091227A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0F33CE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3CE" w:rsidRPr="00016976" w:rsidRDefault="000F33CE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E" w:rsidRPr="004E4B7E" w:rsidRDefault="000F33CE" w:rsidP="000F33CE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иммуноферментного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определения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концентрации </w:t>
            </w:r>
            <w:r w:rsidRPr="004E4B7E">
              <w:rPr>
                <w:color w:val="000000" w:themeColor="text1"/>
                <w:sz w:val="18"/>
                <w:szCs w:val="18"/>
              </w:rPr>
              <w:t>свободн</w:t>
            </w:r>
            <w:r>
              <w:rPr>
                <w:color w:val="000000" w:themeColor="text1"/>
                <w:sz w:val="18"/>
                <w:szCs w:val="18"/>
              </w:rPr>
              <w:t xml:space="preserve">ой фракции </w:t>
            </w:r>
            <w:r w:rsidRPr="004E4B7E">
              <w:rPr>
                <w:color w:val="000000" w:themeColor="text1"/>
                <w:sz w:val="18"/>
                <w:szCs w:val="18"/>
              </w:rPr>
              <w:t>тироксина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E" w:rsidRPr="004E4B7E" w:rsidRDefault="000F33CE" w:rsidP="00675E48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</w:rPr>
              <w:t>Набор реагентов и связанных с ними материалов, предназначенный для количественного определения свободного тироксина (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</w:rPr>
              <w:t>free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</w:rPr>
              <w:t>thyroxine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</w:rPr>
              <w:t xml:space="preserve"> (FT4)) в клиническом образце методом иммуноферментного анализа (ИФА).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Количество выполняемых тестов ≥96 штук; Назначение: для ручной постановки анализа.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Метод: конкурентный ИФА; одностадийный; Формат планшета: разборный; Диапазон измерений не уже 0-80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пмоль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/л; Количество калибраторов: не менее 6; Концентрации калибраторов в разных сериях наборов не изменяются; Чувствительность: не более 0.5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пмоль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/л; Образец для анализа: сыворотка крови; Количество образца для анализа: не более 50 мкл; Объемное равенство контролей и образцов;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Суммарное время инкубации не более 1 ч. 15 мин; Отсутствие предварительной промывки планшета; Отсутствие финальной отмывки водой; Постановка анализа с использованием шейкера; Стандартизация условий проведения ферментативной реакции с хромогеном в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термостатируемом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шейкере при 37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 раствора конъюгата: готов к использованию; Форма раствора ТМБ: готов к использованию; Режим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фотометрирования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двухволновый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без дополнительной математической обработки; Взаимозаменяемость неспецифических компонентов; Возможность использования для работы на автоматических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ИФА-анализаторах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открытого типа; Для хранения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стрипов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набор должен быть укомплектован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фольгированным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пакетом с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влагопоглотителем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и замком типа «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зип-лок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»; Возможность транспортирования при температуре до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+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25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не менее 10 суток.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CE" w:rsidRPr="004E4B7E" w:rsidRDefault="000F33CE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3CE" w:rsidRDefault="000F33CE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0F33CE" w:rsidRPr="004E4B7E" w:rsidRDefault="000F33CE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0F33CE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3CE" w:rsidRPr="00016976" w:rsidRDefault="000F33CE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E" w:rsidRPr="004E4B7E" w:rsidRDefault="000F33CE" w:rsidP="000F33CE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иммуноферментного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определения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концентрации </w:t>
            </w:r>
            <w:r w:rsidRPr="004E4B7E">
              <w:rPr>
                <w:color w:val="000000" w:themeColor="text1"/>
                <w:sz w:val="18"/>
                <w:szCs w:val="18"/>
              </w:rPr>
              <w:t>свободн</w:t>
            </w:r>
            <w:r>
              <w:rPr>
                <w:color w:val="000000" w:themeColor="text1"/>
                <w:sz w:val="18"/>
                <w:szCs w:val="18"/>
              </w:rPr>
              <w:t xml:space="preserve">ой фракции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</w:rPr>
              <w:t>трийодтиронина</w:t>
            </w:r>
            <w:proofErr w:type="spellEnd"/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E" w:rsidRPr="004E4B7E" w:rsidRDefault="000F33CE" w:rsidP="00675E48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</w:rPr>
              <w:t xml:space="preserve">Набор реагентов и связанных с ними материалов, предназначенных для количественного определения свободного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</w:rPr>
              <w:t>трийодтиронина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</w:rPr>
              <w:t>free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</w:rPr>
              <w:t>triiodothyronine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</w:rPr>
              <w:t xml:space="preserve"> (FT3)) в клиническом образце методом иммуноферментного анализа (ИФА).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Количество выполняемых тестов ≥96 штук; Назначение: для ручной постановки анализа.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Метод: конкурентный ИФА; одностадийный; Формат планшета: разборный; Диапазон измерений не уже 0-20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пмоль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/л; Количество калибраторов: не менее 6; Концентрации калибраторов в разных сериях наборов не изменяются; Чувствительность: не более 0,5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пмоль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/л; Образец для анализа: сыворотка крови; Количество образца для анализа: не более 50 мкл, Объемное равенство контролей и образцов;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Суммарное время инкубации не более 1 ч. 15 мин; Отсутствие предварительной промывки планшета; Отсутствие финальной отмывки водой; Постановка анализа с использованием шейкера; Стандартизация условий проведения ферментативной реакции с хромогеном в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термостатируемом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шейкере при 37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 раствора конъюгата: готов к использованию; Форма раствора ТМБ: готов к использованию; Режим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фотометрирования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двухволновый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без дополнительной математической обработки; Взаимозаменяемость неспецифических компонентов; Возможность использования для работы на автоматических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ИФА-анализаторах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открытого типа; Для хранения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стрипов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набор должен быть укомплектован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фольгированным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пакетом с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влагопоглотителем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и замком типа «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зип-лок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»; Возможность транспортирования при температуре до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+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25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не менее 10 суток.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CE" w:rsidRPr="004E4B7E" w:rsidRDefault="000F33CE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3CE" w:rsidRDefault="000F33CE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F33CE" w:rsidRPr="004E4B7E" w:rsidRDefault="000F33CE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0F33CE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3CE" w:rsidRPr="00016976" w:rsidRDefault="000F33CE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E" w:rsidRPr="004E4B7E" w:rsidRDefault="000F33CE" w:rsidP="00A5418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иммуноферментного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определения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концентрации 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антител к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тиреопероксидазе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анти-ТПО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E" w:rsidRPr="004E4B7E" w:rsidRDefault="000F33CE" w:rsidP="00A5418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связанных с ними материалов, предназначенный для количественного определения антител к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тиреопероксидазе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анти-ТПО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), также известных как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анти-микросомальные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антитела, в клиническом образце с использованием метода иммуноферментного анализа (ИФА). Количество выполняемых тестов ≥ 96 штук; Назначение: для ручной постановки анализа и работы на анализаторах открытого типа. Метод: непрямой ИФА;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Двухстадийный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Формат планшета: разборный; Диапазон измерений не уже 0-1000 МЕ/мл; Количество калибраторов: не менее 6; Концентрации калибраторов в разных сериях наборов не изменяются; Чувствительность: не более 2 МЕ/мл; Образец для анализа: сыворотка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крови; Количество образца для анализа: не более 10 мкл; Суммарное время инкубации не более 1 ч. 15 мин.; Одинаковые алгоритмы промывок после инкубации; Отсутствие предварительной промывки планшета; Отсутствие финальной отмывки водой; Постановка анализа с использованием шейкера; Стандартизация условий проведения ферментативной реакции с хромогеном в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термостатируемом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шейкере при 37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 раствора конъюгата: готов к использованию; Форма раствора ТМБ: готов к использованию; Режим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фотометрирования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двухволновый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без дополнительной математической обработки; Взаимозаменяемость неспецифических компонентов; Для хранения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стрипов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набор должен быть укомплектован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фольгированным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пакетом с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влагопоглотителем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и замком типа «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зип-лок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»; Возможность транспортирования при температуре до 25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не менее 10 суток.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CE" w:rsidRPr="004E4B7E" w:rsidRDefault="000F33CE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lastRenderedPageBreak/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3CE" w:rsidRDefault="000F33CE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0F33CE" w:rsidRPr="004E4B7E" w:rsidRDefault="000F33CE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0F33CE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3CE" w:rsidRPr="00016976" w:rsidRDefault="000F33CE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E" w:rsidRPr="004E4B7E" w:rsidRDefault="000F33CE" w:rsidP="000F33CE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иммуноферментного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определения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концентрации 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общего простатического специфического антигена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ПСА)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E" w:rsidRPr="004E4B7E" w:rsidRDefault="000F33CE" w:rsidP="00A5418B">
            <w:pPr>
              <w:rPr>
                <w:color w:val="000000" w:themeColor="text1"/>
                <w:sz w:val="18"/>
                <w:szCs w:val="18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Набор реагентов и связанных с ними материалов, предназначенный для количественного определения общего простатического специфического антигена (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prostate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specific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antigen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, PSA, ПСА) в клиническом образце с использованием метода иммуноферментного анализа (ИФА). Количество выполняемых тестов ≥ 96 штук; Назначение: для ручной постановки анализа и анализаторов открытого типа.</w:t>
            </w:r>
          </w:p>
          <w:p w:rsidR="000F33CE" w:rsidRPr="004E4B7E" w:rsidRDefault="000F33CE" w:rsidP="00A5418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Метод: «сэндвич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»-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вариант ИФА; одностадийный; Формат планшета: разборный; Диапазон измерений не уже 0 - 40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нг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/мл; Количество калибраторов: не менее 6; Концентрации калибраторов в разных сериях наборов не изменяются; Чувствительность: не более 0,1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нг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/мл; Образец для анализа: сыворотка крови; Количество образца для анализа: не более 25 мкл, Объемное равенство контролей и образцов; Суммарное время инкубации не более 1 ч. 15 мин.; Отсутствие предварительной промывки планшета; Отсутствие финальной отмывки водой; Постановка анализа с использованием шейкера Стандартизация условий проведения ферментативной реакции с хромогеном в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термостатируемом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шейкере при 37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 раствора конъюгата: готов к использованию; Форма раствора ТМБ: готов к использованию; Режим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фотометрирования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двухволновый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без дополнительной математической обработки; Взаимозаменяемость неспецифических компонентов; Для хранения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стрипов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набор должен быть укомплектован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фольгированным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пакетом с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влагопоглотителем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и замком типа «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зип-лок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»; Возможность транспортирования при температуре до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+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25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не менее 10 суток.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33CE" w:rsidRPr="004E4B7E" w:rsidRDefault="000F33CE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33CE" w:rsidRDefault="000F33CE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0F33CE" w:rsidRPr="004E4B7E" w:rsidRDefault="000F33CE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835D12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Pr="00016976" w:rsidRDefault="00835D12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4E4B7E" w:rsidRDefault="00835D12" w:rsidP="00835D12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иммуноферментного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определения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опухолевого маркера СА-125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4E4B7E" w:rsidRDefault="00835D12" w:rsidP="00675E48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Набор реагентов и связанных с ними материалов, предназначенный для количественного определения ракового антигена 125 (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Cancer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antigen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125 (CA125)), маркера, обычно ассоциированного с раком яичников, в клиническом образце методом иммуноферментного анализа (ИФА). Количество выполняемых тестов ≥ 96 штук; Назначение: для ручной постановки анализа и анализаторов открытого типа.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Метод: «сэндвич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»-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вариант ИФА; Одностадийный; Формат планшета: разборный; Диапазон измерений не уже 0-400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Ед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/мл; Количество калибраторов: не менее 6; Концентрации калибраторов в разных сериях наборов не изменяются; Чувствительность: не более 1,5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Ед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/мл; Образец для анализа: сыворотка крови: Количество образца для анализа: не более 25 мкл; Объемное равенство контролей и образцов; Суммарное время инкубации не более 1 ч. 15 мин; Отсутствие предварительной промывки планшета; Отсутствие финальной отмывки водой; Постановка анализа с использованием шейкера Стандартизация условий проведения ферментативной реакции с хромогеном в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термостатируемом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шейкере при 37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 раствора конъюгата: готов к использованию; Форма раствора ТМБ: готов к использованию; Режим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фотометрирования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двухволновый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без дополнительной математической обработки; Взаимозаменяемость неспецифических компонентов; Для хранения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стрипов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набор должен быть укомплектован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фольгированным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пакетом с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влагопоглотителем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и замком типа «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зип-лок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»; Возможность транспортирования при температуре до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+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25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не менее 10 суток.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D12" w:rsidRPr="004E4B7E" w:rsidRDefault="00835D12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Default="00835D12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35D12" w:rsidRPr="004E4B7E" w:rsidRDefault="00835D12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835D12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Pr="00016976" w:rsidRDefault="00835D12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4E4B7E" w:rsidRDefault="00835D12" w:rsidP="00835D12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иммуноферментного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определения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концентрации  кортизола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4E4B7E" w:rsidRDefault="00835D12" w:rsidP="00A5418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</w:rPr>
              <w:t>Набор реагентов и связанных с ними материалов, предназначенный количественного определения общего кортизола (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</w:rPr>
              <w:t>total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</w:rPr>
              <w:t>cortisol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</w:rPr>
              <w:t>) в клиническом образце с использованием метода иммуноферментного анализа (ИФА).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Метод: конкурентный ИФА, одностадийный; Формат планшета: разборный; Количество определений: 96; Диапазон измерений не уже 0-1200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нмоль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/л; Количество калибраторов: не менее 6; Концентрации калибраторов в разных сериях наборов не изменяются; Чувствительность: не более 5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нмоль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/л; Образец для анализа: сыворотка крови; Количество образца для анализа: не более 10 мкл; Объемное равенство контролей и образцов;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Суммарное время инкубации не более 1 часа 15 мин; Отсутствие предварительной промывки планшета; Отсутствие финальной отмывки водой; Постановка анализа с использованием шейкера; Стандартизация условий проведения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ферментативной реакции с хромогеном в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термостатируемом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шейкере при 37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 раствора конъюгата: готов к использованию; Форма раствора ТМБ: готов к использованию; Режим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фотометрирования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двухволновый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без дополнительной математической обработки; Взаимозаменяемость неспецифических компонентов; Возможность использования для работы на автоматических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ИФА-анализаторах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открытого типа; Для хранения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стрипов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набор должен быть укомплектован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фольгированным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пакетом с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влагопоглотителем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и замком типа «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зип-лок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»; Возможность транспортирования при температуре до 25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не менее 10 суток.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D12" w:rsidRPr="004E4B7E" w:rsidRDefault="00835D12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lastRenderedPageBreak/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Default="00835D12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35D12" w:rsidRPr="004E4B7E" w:rsidRDefault="00835D12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835D12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Pr="00016976" w:rsidRDefault="00835D12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4E4B7E" w:rsidRDefault="00835D12" w:rsidP="00835D12">
            <w:pPr>
              <w:rPr>
                <w:color w:val="000000" w:themeColor="text1"/>
                <w:sz w:val="18"/>
                <w:szCs w:val="18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иммуноферментного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определения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концентрации  пролактина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4E4B7E" w:rsidRDefault="00835D12" w:rsidP="00A5418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</w:rPr>
              <w:t xml:space="preserve">Набор реагентов и 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</w:rPr>
              <w:t>других</w:t>
            </w:r>
            <w:proofErr w:type="gramEnd"/>
            <w:r w:rsidRPr="004E4B7E">
              <w:rPr>
                <w:color w:val="000000" w:themeColor="text1"/>
                <w:sz w:val="18"/>
                <w:szCs w:val="18"/>
              </w:rPr>
              <w:t xml:space="preserve"> связанных с ними материалов, предназначенный для количественного определения пролактина (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</w:rPr>
              <w:t>prolactin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</w:rPr>
              <w:t xml:space="preserve">) в клиническом образце с использованием метода иммуноферментного анализа (ИФА).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Назначение: для ручной постановки анализа. Метод: «сэндвич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»-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вариант ИФА, одностадийный; Формат планшета: разборный; Количество определений: 96; Диапазон измерений не уже 0-3000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мМЕ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/л; Количество калибраторов: не менее 6; Концентрации калибраторов в разных сериях наборов не изменяются; Чувствительность: не более 15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мМЕ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/л; Образец для анализа: сыворотка крови; Количество образца для анализа: не более 20 мкл; Объемное равенство контролей и образцов; Суммарное время инкубации не более 1 ч. 15 мин.; Отсутствие предварительной промывки планшета; Отсутствие финальной отмывки водой; Постановка анализа с использованием шейкера; Стандартизация условий проведения ферментативной реакции с хромогеном в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термостатируемом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шейкере при 37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 раствора конъюгата: готов к использованию; Форма раствора ТМБ: готов к использованию; Режим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фотометрирования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двухволновый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без дополнительной математической обработки; Взаимозаменяемость неспецифических компонентов; Возможность использования для работы на автоматических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ИФА-анализаторах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открытого типа; Для хранения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стрипов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набор должен быть укомплектован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фольгированным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пакетом с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влагопоглотителем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и замком типа «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зип-лок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»; Возможность транспортирования при температуре до 25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не менее 10 суток.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D12" w:rsidRPr="004E4B7E" w:rsidRDefault="00835D12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Default="00835D12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35D12" w:rsidRPr="004E4B7E" w:rsidRDefault="00835D12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835D12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Pr="00016976" w:rsidRDefault="00835D12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4E4B7E" w:rsidRDefault="00835D12" w:rsidP="00835D12">
            <w:pPr>
              <w:rPr>
                <w:color w:val="000000" w:themeColor="text1"/>
                <w:sz w:val="18"/>
                <w:szCs w:val="18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иммуноферментного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определения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концентрации  тестостерона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4E4B7E" w:rsidRDefault="00835D12" w:rsidP="00A5418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общего тестостерона (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total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testosterone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 в клиническом образце с помощью метода иммуноферментного анализа (ИФА). Количество выполняемых тестов ≥ 96 штук; Назначение: для ручной постановки анализа. 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Метод: конкурентный ИФА, одностадийный; Формат планшета: разборный; Диапазон измерений не уже 0-60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нмоль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/л; Количество калибраторов: не менее 6; Концентрации калибраторов в разных сериях наборов не изменяются; Чувствительность: не более 0,2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нмоль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/л; Образец для анализа: сыворотка крови;  Количество образца для анализа: не более 20 мкл; Объемное равенство контролей и образцов;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Суммарное время инкубации не более 1 ч. 15 мин; Отсутствие предварительной промывки планшета; Отсутствие финальной отмывки водой; Постановка анализа с использованием шейкера; Стандартизация условий проведения ферментативной реакции с хромогеном в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термостатируемом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шейкере при 37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; Форма раствора конъюгата: готов к использованию; Форма раствора ТМБ: готов к использованию; Режим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фотометрирования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двухволновый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без дополнительной математической обработки; Взаимозаменяемость неспецифических компонентов; Возможность использования для работы на автоматических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ИФА-анализаторах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открытого типа; Для хранения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стрипов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набор должен быть укомплектован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фольгированным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пакетом с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влагопоглотителем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и замком типа «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зип-лок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»; Возможность транспортирования при температуре до 25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не менее 10 суток.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D12" w:rsidRPr="004E4B7E" w:rsidRDefault="00835D12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Default="00835D12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35D12" w:rsidRPr="004E4B7E" w:rsidRDefault="00835D12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835D12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Pr="00016976" w:rsidRDefault="00835D12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4E4B7E" w:rsidRDefault="00835D12" w:rsidP="00835D12">
            <w:pPr>
              <w:rPr>
                <w:color w:val="000000" w:themeColor="text1"/>
                <w:sz w:val="18"/>
                <w:szCs w:val="18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для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иммуноферментного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определения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концентрации  ферритина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4E4B7E" w:rsidRDefault="00835D12" w:rsidP="00A5418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Набор реагентов и 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других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ферритина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ferritin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) в клиническом образце методом иммуноферментного анализа (ИФА). Количество выполняемых тестов ≥ 96 штук; Назначение: для анализаторов открытого типа и ручной постановки. Метод: «сэндвич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»-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вариант ИФА, одностадийный; Формат планшета: разборный; Диапазон измерений не уже 0-500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нг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/мл; Количество калибраторов: не менее 6; Концентрации калибраторов в разных сериях наборов не изменяются; Чувствительность не более 2,5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нг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/мл; Образец для анализа: сыворотка крови, плазма крови; Количество образца для анализа: не более 20 мкл; Объемное равенство контролей и образцов; 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Суммарное время инкубации не более 45 мин; Отсутствие предварительной промывки планшета; Отсутствие финальной отмывки водой; Постановка анализа с использованием шейкера; Форма раствора конъюгата: готов к использованию; Форма раствора ТМБ: готов к использованию; Режим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фотометрирования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двухволновый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без дополнительной математической обработки; Взаимозаменяемость неспецифических компонентов; Для хранения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стрипов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набор должен быть укомплектован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фольгированным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пакетом с 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влагопоглотителем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и замком </w:t>
            </w:r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типа «</w:t>
            </w:r>
            <w:proofErr w:type="spell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зип-лок</w:t>
            </w:r>
            <w:proofErr w:type="spell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»;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Возможность транспортирования при температуре до 25</w:t>
            </w:r>
            <w:proofErr w:type="gramStart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>ºС</w:t>
            </w:r>
            <w:proofErr w:type="gramEnd"/>
            <w:r w:rsidRPr="004E4B7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не менее 10 суток.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D12" w:rsidRPr="004E4B7E" w:rsidRDefault="00835D12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lastRenderedPageBreak/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Default="00835D12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35D12" w:rsidRPr="004E4B7E" w:rsidRDefault="00835D12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835D12" w:rsidRPr="004E4B7E" w:rsidTr="0017306E">
        <w:trPr>
          <w:trHeight w:val="6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Pr="00016976" w:rsidRDefault="00835D12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675E48" w:rsidRDefault="00835D12" w:rsidP="00A5418B">
            <w:pPr>
              <w:rPr>
                <w:sz w:val="18"/>
                <w:szCs w:val="18"/>
              </w:rPr>
            </w:pPr>
            <w:r w:rsidRPr="00675E48">
              <w:rPr>
                <w:sz w:val="18"/>
                <w:szCs w:val="18"/>
              </w:rPr>
              <w:t xml:space="preserve">Набор реагентов для </w:t>
            </w:r>
            <w:proofErr w:type="spellStart"/>
            <w:proofErr w:type="gramStart"/>
            <w:r w:rsidRPr="00675E48">
              <w:rPr>
                <w:sz w:val="18"/>
                <w:szCs w:val="18"/>
              </w:rPr>
              <w:t>экспресс-выявления</w:t>
            </w:r>
            <w:proofErr w:type="spellEnd"/>
            <w:proofErr w:type="gramEnd"/>
            <w:r w:rsidRPr="00675E48">
              <w:rPr>
                <w:sz w:val="18"/>
                <w:szCs w:val="18"/>
              </w:rPr>
              <w:t xml:space="preserve"> антител к антигену </w:t>
            </w:r>
            <w:proofErr w:type="spellStart"/>
            <w:r w:rsidRPr="00675E48">
              <w:rPr>
                <w:sz w:val="18"/>
                <w:szCs w:val="18"/>
              </w:rPr>
              <w:t>CagA</w:t>
            </w:r>
            <w:proofErr w:type="spellEnd"/>
            <w:r w:rsidRPr="00675E48">
              <w:rPr>
                <w:sz w:val="18"/>
                <w:szCs w:val="18"/>
              </w:rPr>
              <w:t xml:space="preserve"> </w:t>
            </w:r>
            <w:proofErr w:type="spellStart"/>
            <w:r w:rsidRPr="00675E48">
              <w:rPr>
                <w:sz w:val="18"/>
                <w:szCs w:val="18"/>
              </w:rPr>
              <w:t>Helicobacter</w:t>
            </w:r>
            <w:proofErr w:type="spellEnd"/>
            <w:r w:rsidRPr="00675E48">
              <w:rPr>
                <w:sz w:val="18"/>
                <w:szCs w:val="18"/>
              </w:rPr>
              <w:t xml:space="preserve"> </w:t>
            </w:r>
            <w:proofErr w:type="spellStart"/>
            <w:r w:rsidRPr="00675E48">
              <w:rPr>
                <w:sz w:val="18"/>
                <w:szCs w:val="18"/>
              </w:rPr>
              <w:t>pylori</w:t>
            </w:r>
            <w:proofErr w:type="spellEnd"/>
            <w:r w:rsidRPr="00675E48">
              <w:rPr>
                <w:sz w:val="18"/>
                <w:szCs w:val="18"/>
              </w:rPr>
              <w:t>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675E48" w:rsidRDefault="00835D12" w:rsidP="00A5418B">
            <w:pPr>
              <w:rPr>
                <w:sz w:val="18"/>
                <w:szCs w:val="18"/>
              </w:rPr>
            </w:pPr>
            <w:r w:rsidRPr="00675E48">
              <w:rPr>
                <w:sz w:val="18"/>
                <w:szCs w:val="18"/>
              </w:rPr>
              <w:t xml:space="preserve">Набор реагентов для </w:t>
            </w:r>
            <w:proofErr w:type="spellStart"/>
            <w:proofErr w:type="gramStart"/>
            <w:r w:rsidRPr="00675E48">
              <w:rPr>
                <w:sz w:val="18"/>
                <w:szCs w:val="18"/>
              </w:rPr>
              <w:t>экспресс-выявления</w:t>
            </w:r>
            <w:proofErr w:type="spellEnd"/>
            <w:proofErr w:type="gramEnd"/>
            <w:r w:rsidRPr="00675E48">
              <w:rPr>
                <w:sz w:val="18"/>
                <w:szCs w:val="18"/>
              </w:rPr>
              <w:t xml:space="preserve"> антител к антигену </w:t>
            </w:r>
            <w:proofErr w:type="spellStart"/>
            <w:r w:rsidRPr="00675E48">
              <w:rPr>
                <w:sz w:val="18"/>
                <w:szCs w:val="18"/>
              </w:rPr>
              <w:t>CagA</w:t>
            </w:r>
            <w:proofErr w:type="spellEnd"/>
            <w:r w:rsidRPr="00675E48">
              <w:rPr>
                <w:sz w:val="18"/>
                <w:szCs w:val="18"/>
              </w:rPr>
              <w:t xml:space="preserve"> </w:t>
            </w:r>
            <w:proofErr w:type="spellStart"/>
            <w:r w:rsidRPr="00675E48">
              <w:rPr>
                <w:sz w:val="18"/>
                <w:szCs w:val="18"/>
              </w:rPr>
              <w:t>Helicobacter</w:t>
            </w:r>
            <w:proofErr w:type="spellEnd"/>
            <w:r w:rsidRPr="00675E48">
              <w:rPr>
                <w:sz w:val="18"/>
                <w:szCs w:val="18"/>
              </w:rPr>
              <w:t xml:space="preserve"> </w:t>
            </w:r>
            <w:proofErr w:type="spellStart"/>
            <w:r w:rsidRPr="00675E48">
              <w:rPr>
                <w:sz w:val="18"/>
                <w:szCs w:val="18"/>
              </w:rPr>
              <w:t>pylori</w:t>
            </w:r>
            <w:proofErr w:type="spellEnd"/>
            <w:r w:rsidRPr="00675E48">
              <w:rPr>
                <w:sz w:val="18"/>
                <w:szCs w:val="18"/>
              </w:rPr>
              <w:t>. Метод: дот-анализ; Количество определений: 13; Чувствительность: не менее 100%; Специфичность: не менее 100%; Образец для анализа: кровь, сыворотка крови, плазма крови; Количество образца для анализа: не более 30 мкл; Время реакции не более 10 мин; Учет результатов визуальный Возможность транспортирования при температуре до 25</w:t>
            </w:r>
            <w:proofErr w:type="gramStart"/>
            <w:r w:rsidRPr="00675E48">
              <w:rPr>
                <w:sz w:val="18"/>
                <w:szCs w:val="18"/>
              </w:rPr>
              <w:t>ºС</w:t>
            </w:r>
            <w:proofErr w:type="gramEnd"/>
            <w:r w:rsidRPr="00675E48">
              <w:rPr>
                <w:sz w:val="18"/>
                <w:szCs w:val="18"/>
              </w:rPr>
              <w:t xml:space="preserve"> не менее 10 суток.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D12" w:rsidRPr="004E4B7E" w:rsidRDefault="00835D12" w:rsidP="000F33CE">
            <w:pPr>
              <w:jc w:val="center"/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наб</w:t>
            </w:r>
            <w:r>
              <w:rPr>
                <w:sz w:val="18"/>
                <w:szCs w:val="18"/>
              </w:rPr>
              <w:t>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Default="00835D12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835D12" w:rsidRPr="004E4B7E" w:rsidRDefault="00835D12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835D12" w:rsidRPr="004E4B7E" w:rsidTr="0017306E">
        <w:trPr>
          <w:trHeight w:val="193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Pr="00016976" w:rsidRDefault="00835D12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4E4B7E" w:rsidRDefault="00835D12" w:rsidP="00193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Моющий раствор 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 w:rsidP="00193CFA">
            <w:pPr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 xml:space="preserve">Концентрированный моющий раствор – 10% Тритон Х-100 в дистиллированной воде. </w:t>
            </w:r>
            <w:r>
              <w:rPr>
                <w:sz w:val="18"/>
                <w:szCs w:val="18"/>
              </w:rPr>
              <w:t xml:space="preserve"> </w:t>
            </w:r>
          </w:p>
          <w:p w:rsidR="00835D12" w:rsidRDefault="00835D12" w:rsidP="00193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Назначение: </w:t>
            </w:r>
            <w:r w:rsidRPr="004E4B7E">
              <w:rPr>
                <w:sz w:val="18"/>
                <w:szCs w:val="18"/>
              </w:rPr>
              <w:t>для работы на автоматическ</w:t>
            </w:r>
            <w:r>
              <w:rPr>
                <w:sz w:val="18"/>
                <w:szCs w:val="18"/>
              </w:rPr>
              <w:t xml:space="preserve">ом </w:t>
            </w:r>
            <w:r w:rsidRPr="004E4B7E">
              <w:rPr>
                <w:sz w:val="18"/>
                <w:szCs w:val="18"/>
              </w:rPr>
              <w:t xml:space="preserve"> биохимическ</w:t>
            </w:r>
            <w:r>
              <w:rPr>
                <w:sz w:val="18"/>
                <w:szCs w:val="18"/>
              </w:rPr>
              <w:t xml:space="preserve">ом </w:t>
            </w:r>
            <w:r w:rsidRPr="004E4B7E">
              <w:rPr>
                <w:sz w:val="18"/>
                <w:szCs w:val="18"/>
              </w:rPr>
              <w:t xml:space="preserve"> анализатор</w:t>
            </w:r>
            <w:r>
              <w:rPr>
                <w:sz w:val="18"/>
                <w:szCs w:val="18"/>
              </w:rPr>
              <w:t>е</w:t>
            </w:r>
            <w:r w:rsidRPr="004E4B7E">
              <w:rPr>
                <w:sz w:val="18"/>
                <w:szCs w:val="18"/>
              </w:rPr>
              <w:t xml:space="preserve"> А-25</w:t>
            </w:r>
            <w:r>
              <w:rPr>
                <w:sz w:val="18"/>
                <w:szCs w:val="18"/>
              </w:rPr>
              <w:t xml:space="preserve">.   </w:t>
            </w:r>
          </w:p>
          <w:p w:rsidR="00835D12" w:rsidRPr="004E4B7E" w:rsidRDefault="00835D12" w:rsidP="00193CFA">
            <w:pPr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 xml:space="preserve">Фасовка не менее 1 </w:t>
            </w:r>
            <w:proofErr w:type="spellStart"/>
            <w:r w:rsidRPr="004E4B7E">
              <w:rPr>
                <w:sz w:val="18"/>
                <w:szCs w:val="18"/>
              </w:rPr>
              <w:t>х</w:t>
            </w:r>
            <w:proofErr w:type="spellEnd"/>
            <w:r w:rsidRPr="004E4B7E">
              <w:rPr>
                <w:sz w:val="18"/>
                <w:szCs w:val="18"/>
              </w:rPr>
              <w:t xml:space="preserve"> 100 мл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D12" w:rsidRPr="004E4B7E" w:rsidRDefault="00835D12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Default="00835D12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35D12" w:rsidRPr="004E4B7E" w:rsidRDefault="00835D12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835D12" w:rsidRPr="004E4B7E" w:rsidTr="0017306E">
        <w:trPr>
          <w:trHeight w:val="193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Pr="00016976" w:rsidRDefault="00835D12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4E4B7E" w:rsidRDefault="00835D12" w:rsidP="00193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Концентрированная системная жидкость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 w:rsidP="00193CFA">
            <w:pPr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 xml:space="preserve">Концентрированная системная жидкость </w:t>
            </w:r>
            <w:r>
              <w:rPr>
                <w:sz w:val="18"/>
                <w:szCs w:val="18"/>
              </w:rPr>
              <w:t xml:space="preserve"> </w:t>
            </w:r>
            <w:r w:rsidRPr="004E4B7E">
              <w:rPr>
                <w:sz w:val="18"/>
                <w:szCs w:val="18"/>
              </w:rPr>
              <w:t xml:space="preserve">– 4% </w:t>
            </w:r>
            <w:proofErr w:type="spellStart"/>
            <w:r w:rsidRPr="004E4B7E">
              <w:rPr>
                <w:sz w:val="18"/>
                <w:szCs w:val="18"/>
              </w:rPr>
              <w:t>гидроксид</w:t>
            </w:r>
            <w:proofErr w:type="spellEnd"/>
            <w:r w:rsidRPr="004E4B7E">
              <w:rPr>
                <w:sz w:val="18"/>
                <w:szCs w:val="18"/>
              </w:rPr>
              <w:t xml:space="preserve"> натрия + 10% Тритон Х-100 в дистиллированной воде. </w:t>
            </w:r>
            <w:r>
              <w:rPr>
                <w:sz w:val="18"/>
                <w:szCs w:val="18"/>
              </w:rPr>
              <w:t xml:space="preserve"> </w:t>
            </w:r>
          </w:p>
          <w:p w:rsidR="00835D12" w:rsidRDefault="00835D12" w:rsidP="00193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Назначение: </w:t>
            </w:r>
            <w:r w:rsidRPr="004E4B7E">
              <w:rPr>
                <w:sz w:val="18"/>
                <w:szCs w:val="18"/>
              </w:rPr>
              <w:t>для работы на автоматическ</w:t>
            </w:r>
            <w:r>
              <w:rPr>
                <w:sz w:val="18"/>
                <w:szCs w:val="18"/>
              </w:rPr>
              <w:t xml:space="preserve">ом </w:t>
            </w:r>
            <w:r w:rsidRPr="004E4B7E">
              <w:rPr>
                <w:sz w:val="18"/>
                <w:szCs w:val="18"/>
              </w:rPr>
              <w:t xml:space="preserve"> биохимическ</w:t>
            </w:r>
            <w:r>
              <w:rPr>
                <w:sz w:val="18"/>
                <w:szCs w:val="18"/>
              </w:rPr>
              <w:t xml:space="preserve">ом </w:t>
            </w:r>
            <w:r w:rsidRPr="004E4B7E">
              <w:rPr>
                <w:sz w:val="18"/>
                <w:szCs w:val="18"/>
              </w:rPr>
              <w:t xml:space="preserve"> анализатор</w:t>
            </w:r>
            <w:r>
              <w:rPr>
                <w:sz w:val="18"/>
                <w:szCs w:val="18"/>
              </w:rPr>
              <w:t>е</w:t>
            </w:r>
            <w:r w:rsidRPr="004E4B7E">
              <w:rPr>
                <w:sz w:val="18"/>
                <w:szCs w:val="18"/>
              </w:rPr>
              <w:t xml:space="preserve"> А-25</w:t>
            </w:r>
            <w:r>
              <w:rPr>
                <w:sz w:val="18"/>
                <w:szCs w:val="18"/>
              </w:rPr>
              <w:t xml:space="preserve">.  </w:t>
            </w:r>
          </w:p>
          <w:p w:rsidR="00835D12" w:rsidRPr="004E4B7E" w:rsidRDefault="00835D12" w:rsidP="00193CFA">
            <w:pPr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 xml:space="preserve">Фасовка не менее 1 </w:t>
            </w:r>
            <w:proofErr w:type="spellStart"/>
            <w:r w:rsidRPr="004E4B7E">
              <w:rPr>
                <w:sz w:val="18"/>
                <w:szCs w:val="18"/>
              </w:rPr>
              <w:t>х</w:t>
            </w:r>
            <w:proofErr w:type="spellEnd"/>
            <w:r w:rsidRPr="004E4B7E">
              <w:rPr>
                <w:sz w:val="18"/>
                <w:szCs w:val="18"/>
              </w:rPr>
              <w:t xml:space="preserve"> 1000 мл.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D12" w:rsidRPr="004E4B7E" w:rsidRDefault="00835D12" w:rsidP="00A541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4E4B7E">
              <w:rPr>
                <w:sz w:val="18"/>
                <w:szCs w:val="18"/>
              </w:rPr>
              <w:t>пак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Default="00835D12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35D12" w:rsidRPr="004E4B7E" w:rsidRDefault="00835D12" w:rsidP="00A5418B">
            <w:pPr>
              <w:jc w:val="center"/>
              <w:rPr>
                <w:sz w:val="18"/>
                <w:szCs w:val="18"/>
              </w:rPr>
            </w:pPr>
          </w:p>
        </w:tc>
      </w:tr>
      <w:tr w:rsidR="00835D12" w:rsidRPr="004E4B7E" w:rsidTr="0017306E">
        <w:trPr>
          <w:trHeight w:val="201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Pr="00016976" w:rsidRDefault="00835D12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4E4B7E" w:rsidRDefault="00835D12" w:rsidP="00835D12">
            <w:pPr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>Реакционные роторы</w:t>
            </w:r>
          </w:p>
          <w:p w:rsidR="00835D12" w:rsidRPr="004E4B7E" w:rsidRDefault="00835D12" w:rsidP="000F33CE">
            <w:pPr>
              <w:rPr>
                <w:sz w:val="18"/>
                <w:szCs w:val="18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4E4B7E" w:rsidRDefault="00835D12" w:rsidP="000F33CE">
            <w:pPr>
              <w:rPr>
                <w:sz w:val="18"/>
                <w:szCs w:val="18"/>
              </w:rPr>
            </w:pPr>
            <w:r w:rsidRPr="004E4B7E">
              <w:rPr>
                <w:sz w:val="18"/>
                <w:szCs w:val="18"/>
              </w:rPr>
              <w:t xml:space="preserve">Многоразовый </w:t>
            </w:r>
            <w:proofErr w:type="spellStart"/>
            <w:r w:rsidRPr="004E4B7E">
              <w:rPr>
                <w:sz w:val="18"/>
                <w:szCs w:val="18"/>
              </w:rPr>
              <w:t>метакрилатный</w:t>
            </w:r>
            <w:proofErr w:type="spellEnd"/>
            <w:r w:rsidRPr="004E4B7E">
              <w:rPr>
                <w:sz w:val="18"/>
                <w:szCs w:val="18"/>
              </w:rPr>
              <w:t xml:space="preserve"> реакционный ротор на 120 ячеек, объем реакционной смеси от 200 до 800 мкл, оптический путь - 6 мм. </w:t>
            </w:r>
            <w:r>
              <w:rPr>
                <w:sz w:val="18"/>
                <w:szCs w:val="18"/>
              </w:rPr>
              <w:t xml:space="preserve">Назначение: </w:t>
            </w:r>
            <w:r w:rsidRPr="004E4B7E">
              <w:rPr>
                <w:sz w:val="18"/>
                <w:szCs w:val="18"/>
              </w:rPr>
              <w:t>для работы на автоматическ</w:t>
            </w:r>
            <w:r>
              <w:rPr>
                <w:sz w:val="18"/>
                <w:szCs w:val="18"/>
              </w:rPr>
              <w:t xml:space="preserve">ом </w:t>
            </w:r>
            <w:r w:rsidRPr="004E4B7E">
              <w:rPr>
                <w:sz w:val="18"/>
                <w:szCs w:val="18"/>
              </w:rPr>
              <w:t xml:space="preserve"> биохимическ</w:t>
            </w:r>
            <w:r>
              <w:rPr>
                <w:sz w:val="18"/>
                <w:szCs w:val="18"/>
              </w:rPr>
              <w:t xml:space="preserve">ом </w:t>
            </w:r>
            <w:r w:rsidRPr="004E4B7E">
              <w:rPr>
                <w:sz w:val="18"/>
                <w:szCs w:val="18"/>
              </w:rPr>
              <w:t xml:space="preserve"> анализатор</w:t>
            </w:r>
            <w:r>
              <w:rPr>
                <w:sz w:val="18"/>
                <w:szCs w:val="18"/>
              </w:rPr>
              <w:t>е</w:t>
            </w:r>
            <w:r w:rsidRPr="004E4B7E">
              <w:rPr>
                <w:sz w:val="18"/>
                <w:szCs w:val="18"/>
              </w:rPr>
              <w:t xml:space="preserve"> А-25</w:t>
            </w:r>
            <w:r>
              <w:rPr>
                <w:sz w:val="18"/>
                <w:szCs w:val="18"/>
              </w:rPr>
              <w:t xml:space="preserve">.  </w:t>
            </w:r>
            <w:r w:rsidRPr="004E4B7E">
              <w:rPr>
                <w:sz w:val="18"/>
                <w:szCs w:val="18"/>
              </w:rPr>
              <w:t>Фасовка не менее 10 шт. в упаковке.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D12" w:rsidRPr="004E4B7E" w:rsidRDefault="00835D12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Default="00835D12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35D12" w:rsidRPr="004E4B7E" w:rsidRDefault="00835D12" w:rsidP="000F33CE">
            <w:pPr>
              <w:jc w:val="center"/>
              <w:rPr>
                <w:sz w:val="18"/>
                <w:szCs w:val="18"/>
              </w:rPr>
            </w:pPr>
          </w:p>
        </w:tc>
      </w:tr>
      <w:tr w:rsidR="00835D12" w:rsidRPr="004E4B7E" w:rsidTr="0017306E">
        <w:trPr>
          <w:trHeight w:val="12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Pr="00016976" w:rsidRDefault="00835D12" w:rsidP="00016976">
            <w:pPr>
              <w:pStyle w:val="af4"/>
              <w:numPr>
                <w:ilvl w:val="0"/>
                <w:numId w:val="30"/>
              </w:numPr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Pr="00193CFA" w:rsidRDefault="00835D12" w:rsidP="00835D12">
            <w:pPr>
              <w:rPr>
                <w:sz w:val="18"/>
                <w:szCs w:val="18"/>
              </w:rPr>
            </w:pPr>
            <w:r w:rsidRPr="00193CFA">
              <w:rPr>
                <w:sz w:val="18"/>
                <w:szCs w:val="18"/>
              </w:rPr>
              <w:t>Вторичные пробирки</w:t>
            </w:r>
          </w:p>
          <w:p w:rsidR="00835D12" w:rsidRPr="00193CFA" w:rsidRDefault="00835D12" w:rsidP="00193CFA">
            <w:pPr>
              <w:rPr>
                <w:sz w:val="18"/>
                <w:szCs w:val="18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2" w:rsidRDefault="00835D12" w:rsidP="00193CFA">
            <w:pPr>
              <w:rPr>
                <w:sz w:val="18"/>
                <w:szCs w:val="18"/>
              </w:rPr>
            </w:pPr>
            <w:r w:rsidRPr="00193CFA">
              <w:rPr>
                <w:sz w:val="18"/>
                <w:szCs w:val="18"/>
              </w:rPr>
              <w:t>Чашечки для образцов</w:t>
            </w:r>
            <w:r>
              <w:rPr>
                <w:sz w:val="18"/>
                <w:szCs w:val="18"/>
              </w:rPr>
              <w:t xml:space="preserve"> из полимерного материала</w:t>
            </w:r>
            <w:r w:rsidRPr="00193CFA">
              <w:rPr>
                <w:sz w:val="18"/>
                <w:szCs w:val="18"/>
              </w:rPr>
              <w:t xml:space="preserve">, объем 1.5 мл, диаметр 13 мм. </w:t>
            </w:r>
            <w:r>
              <w:rPr>
                <w:sz w:val="18"/>
                <w:szCs w:val="18"/>
              </w:rPr>
              <w:t xml:space="preserve">Назначение: </w:t>
            </w:r>
            <w:r w:rsidRPr="004E4B7E">
              <w:rPr>
                <w:sz w:val="18"/>
                <w:szCs w:val="18"/>
              </w:rPr>
              <w:t>для работы на автоматическ</w:t>
            </w:r>
            <w:r>
              <w:rPr>
                <w:sz w:val="18"/>
                <w:szCs w:val="18"/>
              </w:rPr>
              <w:t xml:space="preserve">ом </w:t>
            </w:r>
            <w:r w:rsidRPr="004E4B7E">
              <w:rPr>
                <w:sz w:val="18"/>
                <w:szCs w:val="18"/>
              </w:rPr>
              <w:t xml:space="preserve"> биохимическ</w:t>
            </w:r>
            <w:r>
              <w:rPr>
                <w:sz w:val="18"/>
                <w:szCs w:val="18"/>
              </w:rPr>
              <w:t xml:space="preserve">ом </w:t>
            </w:r>
            <w:r w:rsidRPr="004E4B7E">
              <w:rPr>
                <w:sz w:val="18"/>
                <w:szCs w:val="18"/>
              </w:rPr>
              <w:t xml:space="preserve"> анализатор</w:t>
            </w:r>
            <w:r>
              <w:rPr>
                <w:sz w:val="18"/>
                <w:szCs w:val="18"/>
              </w:rPr>
              <w:t>е</w:t>
            </w:r>
            <w:r w:rsidRPr="004E4B7E">
              <w:rPr>
                <w:sz w:val="18"/>
                <w:szCs w:val="18"/>
              </w:rPr>
              <w:t xml:space="preserve"> А-25</w:t>
            </w:r>
            <w:r>
              <w:rPr>
                <w:sz w:val="18"/>
                <w:szCs w:val="18"/>
              </w:rPr>
              <w:t xml:space="preserve">. </w:t>
            </w:r>
          </w:p>
          <w:p w:rsidR="00835D12" w:rsidRPr="00193CFA" w:rsidRDefault="00835D12" w:rsidP="00193CFA">
            <w:pPr>
              <w:rPr>
                <w:sz w:val="18"/>
                <w:szCs w:val="18"/>
              </w:rPr>
            </w:pPr>
            <w:r w:rsidRPr="00193CFA">
              <w:rPr>
                <w:sz w:val="18"/>
                <w:szCs w:val="18"/>
              </w:rPr>
              <w:t>Фасовка не менее 1000 шт. в упаковке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D12" w:rsidRPr="004E4B7E" w:rsidRDefault="00835D12" w:rsidP="000F3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D12" w:rsidRPr="004E4B7E" w:rsidRDefault="00835D12" w:rsidP="00A54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221C41" w:rsidRDefault="00221C41" w:rsidP="001B3FF2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B47396" w:rsidRPr="000E4B2F" w:rsidRDefault="00B47396" w:rsidP="00B47396">
      <w:pPr>
        <w:tabs>
          <w:tab w:val="right" w:pos="9356"/>
        </w:tabs>
        <w:ind w:right="-5"/>
        <w:jc w:val="both"/>
        <w:rPr>
          <w:sz w:val="22"/>
          <w:szCs w:val="22"/>
          <w:u w:val="single"/>
        </w:rPr>
      </w:pPr>
      <w:r w:rsidRPr="000E4B2F">
        <w:rPr>
          <w:b/>
          <w:sz w:val="22"/>
          <w:szCs w:val="22"/>
        </w:rPr>
        <w:t>Требования к безопасности, качеству, техническим характеристикам, функциональным характеристикам товара:</w:t>
      </w:r>
      <w:r w:rsidRPr="000E4B2F">
        <w:rPr>
          <w:sz w:val="22"/>
          <w:szCs w:val="22"/>
          <w:u w:val="single"/>
        </w:rPr>
        <w:t xml:space="preserve"> </w:t>
      </w:r>
    </w:p>
    <w:p w:rsidR="00846AE9" w:rsidRPr="00186843" w:rsidRDefault="00846AE9" w:rsidP="00846AE9">
      <w:pPr>
        <w:tabs>
          <w:tab w:val="right" w:pos="9356"/>
        </w:tabs>
        <w:ind w:right="-5"/>
        <w:jc w:val="both"/>
        <w:rPr>
          <w:sz w:val="22"/>
          <w:szCs w:val="22"/>
        </w:rPr>
      </w:pPr>
      <w:r w:rsidRPr="008D4FE4">
        <w:rPr>
          <w:sz w:val="22"/>
          <w:szCs w:val="22"/>
        </w:rPr>
        <w:t>Т</w:t>
      </w:r>
      <w:r w:rsidRPr="008D4FE4">
        <w:rPr>
          <w:bCs/>
          <w:sz w:val="22"/>
          <w:szCs w:val="22"/>
        </w:rPr>
        <w:t xml:space="preserve">овар, заявленный к поставке, </w:t>
      </w:r>
      <w:r w:rsidRPr="008D4FE4">
        <w:rPr>
          <w:sz w:val="22"/>
          <w:szCs w:val="22"/>
        </w:rPr>
        <w:t xml:space="preserve"> должен соответствовать по качеству и техническим характеристикам</w:t>
      </w:r>
      <w:r w:rsidR="0064388D">
        <w:rPr>
          <w:sz w:val="22"/>
          <w:szCs w:val="22"/>
        </w:rPr>
        <w:t>,</w:t>
      </w:r>
      <w:r w:rsidRPr="008D4FE4">
        <w:rPr>
          <w:sz w:val="22"/>
          <w:szCs w:val="22"/>
        </w:rPr>
        <w:t xml:space="preserve"> Сертификатам Соответствия поставляемого товара требованиям ГОСТ и Регистрационным Удостоверениям. </w:t>
      </w:r>
    </w:p>
    <w:p w:rsidR="00B47396" w:rsidRPr="000E4B2F" w:rsidRDefault="00B47396" w:rsidP="001B3FF2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9272BD" w:rsidRPr="000F29C4" w:rsidRDefault="001B3FF2" w:rsidP="009272BD">
      <w:pPr>
        <w:rPr>
          <w:bCs/>
          <w:sz w:val="22"/>
          <w:szCs w:val="22"/>
        </w:rPr>
      </w:pPr>
      <w:proofErr w:type="gramStart"/>
      <w:r w:rsidRPr="000E4B2F">
        <w:rPr>
          <w:b/>
          <w:snapToGrid w:val="0"/>
          <w:color w:val="000000"/>
          <w:sz w:val="22"/>
          <w:szCs w:val="22"/>
        </w:rPr>
        <w:t>Место поставки товара:</w:t>
      </w:r>
      <w:r w:rsidRPr="000E4B2F">
        <w:rPr>
          <w:sz w:val="22"/>
          <w:szCs w:val="22"/>
        </w:rPr>
        <w:t xml:space="preserve"> </w:t>
      </w:r>
      <w:r w:rsidR="009272BD">
        <w:rPr>
          <w:sz w:val="22"/>
          <w:szCs w:val="22"/>
        </w:rPr>
        <w:t>160009</w:t>
      </w:r>
      <w:r w:rsidR="009272BD">
        <w:rPr>
          <w:i/>
          <w:sz w:val="22"/>
          <w:szCs w:val="22"/>
        </w:rPr>
        <w:t>,</w:t>
      </w:r>
      <w:r w:rsidR="009272BD">
        <w:rPr>
          <w:sz w:val="22"/>
          <w:szCs w:val="22"/>
        </w:rPr>
        <w:t xml:space="preserve"> Россия, г. Вологда, ул. Челюскинцев, д. 48</w:t>
      </w:r>
      <w:proofErr w:type="gramEnd"/>
    </w:p>
    <w:p w:rsidR="00B47396" w:rsidRPr="000E4B2F" w:rsidRDefault="00B47396" w:rsidP="009272BD">
      <w:pPr>
        <w:pStyle w:val="ConsPlusNormal0"/>
        <w:widowControl/>
        <w:tabs>
          <w:tab w:val="left" w:pos="5505"/>
        </w:tabs>
        <w:ind w:firstLine="0"/>
        <w:jc w:val="both"/>
        <w:rPr>
          <w:bCs/>
          <w:sz w:val="22"/>
          <w:szCs w:val="22"/>
          <w:u w:val="single"/>
        </w:rPr>
      </w:pPr>
    </w:p>
    <w:p w:rsidR="00750239" w:rsidRPr="0064388D" w:rsidRDefault="00221C41" w:rsidP="00750239">
      <w:pPr>
        <w:pStyle w:val="a3"/>
        <w:jc w:val="both"/>
        <w:rPr>
          <w:bCs/>
          <w:sz w:val="22"/>
          <w:szCs w:val="22"/>
          <w:u w:val="single"/>
        </w:rPr>
      </w:pPr>
      <w:proofErr w:type="gramStart"/>
      <w:r w:rsidRPr="00835D12">
        <w:rPr>
          <w:b/>
          <w:bCs/>
          <w:sz w:val="22"/>
          <w:szCs w:val="22"/>
        </w:rPr>
        <w:t>Сроки  поставки товара:</w:t>
      </w:r>
      <w:r w:rsidRPr="00835D12">
        <w:rPr>
          <w:sz w:val="22"/>
          <w:szCs w:val="22"/>
        </w:rPr>
        <w:t xml:space="preserve"> </w:t>
      </w:r>
      <w:r w:rsidR="00750239" w:rsidRPr="00835D12">
        <w:rPr>
          <w:sz w:val="22"/>
          <w:szCs w:val="22"/>
        </w:rPr>
        <w:t>в течение</w:t>
      </w:r>
      <w:r w:rsidR="003D4EDC" w:rsidRPr="00835D12">
        <w:rPr>
          <w:sz w:val="22"/>
          <w:szCs w:val="22"/>
        </w:rPr>
        <w:t xml:space="preserve"> </w:t>
      </w:r>
      <w:r w:rsidR="00455B94" w:rsidRPr="00835D12">
        <w:rPr>
          <w:sz w:val="22"/>
          <w:szCs w:val="22"/>
        </w:rPr>
        <w:t>20</w:t>
      </w:r>
      <w:r w:rsidR="00750239" w:rsidRPr="00835D12">
        <w:rPr>
          <w:sz w:val="22"/>
          <w:szCs w:val="22"/>
        </w:rPr>
        <w:t xml:space="preserve">  (</w:t>
      </w:r>
      <w:r w:rsidR="00455B94" w:rsidRPr="00835D12">
        <w:rPr>
          <w:sz w:val="22"/>
          <w:szCs w:val="22"/>
        </w:rPr>
        <w:t>двадцати</w:t>
      </w:r>
      <w:r w:rsidR="00750239" w:rsidRPr="00835D12">
        <w:rPr>
          <w:sz w:val="22"/>
          <w:szCs w:val="22"/>
        </w:rPr>
        <w:t xml:space="preserve">)  календарных дней </w:t>
      </w:r>
      <w:r w:rsidR="00024CB5" w:rsidRPr="0064388D">
        <w:rPr>
          <w:sz w:val="22"/>
          <w:szCs w:val="22"/>
        </w:rPr>
        <w:t xml:space="preserve">с момента  подачи заявки, </w:t>
      </w:r>
      <w:r w:rsidR="00024CB5" w:rsidRPr="0064388D">
        <w:rPr>
          <w:bCs/>
          <w:sz w:val="22"/>
          <w:szCs w:val="22"/>
        </w:rPr>
        <w:t>направленной посредством автоматизированной системы заказов «Электронный ордер»</w:t>
      </w:r>
      <w:r w:rsidR="00024CB5" w:rsidRPr="0064388D">
        <w:rPr>
          <w:sz w:val="22"/>
          <w:szCs w:val="22"/>
        </w:rPr>
        <w:t>)</w:t>
      </w:r>
      <w:proofErr w:type="gramEnd"/>
    </w:p>
    <w:p w:rsidR="00221C41" w:rsidRPr="009272BD" w:rsidRDefault="00221C41" w:rsidP="00221C41">
      <w:pPr>
        <w:pStyle w:val="a3"/>
        <w:jc w:val="both"/>
        <w:rPr>
          <w:b/>
          <w:snapToGrid w:val="0"/>
          <w:color w:val="FF0000"/>
          <w:sz w:val="22"/>
          <w:szCs w:val="22"/>
        </w:rPr>
      </w:pPr>
    </w:p>
    <w:p w:rsidR="00221C41" w:rsidRPr="00F01F56" w:rsidRDefault="00221C41" w:rsidP="00221C41">
      <w:pPr>
        <w:pStyle w:val="a3"/>
        <w:jc w:val="both"/>
        <w:rPr>
          <w:b/>
          <w:snapToGrid w:val="0"/>
          <w:color w:val="000000"/>
          <w:sz w:val="22"/>
          <w:szCs w:val="22"/>
        </w:rPr>
      </w:pPr>
      <w:r w:rsidRPr="00F01F56">
        <w:rPr>
          <w:b/>
          <w:snapToGrid w:val="0"/>
          <w:color w:val="000000"/>
          <w:sz w:val="22"/>
          <w:szCs w:val="22"/>
        </w:rPr>
        <w:t xml:space="preserve">Условия поставки товара: </w:t>
      </w:r>
    </w:p>
    <w:p w:rsidR="00846AE9" w:rsidRPr="00846AE9" w:rsidRDefault="00846AE9" w:rsidP="004C53CF">
      <w:pPr>
        <w:pStyle w:val="ConsPlusNormal0"/>
        <w:widowControl/>
        <w:numPr>
          <w:ilvl w:val="0"/>
          <w:numId w:val="29"/>
        </w:numPr>
        <w:tabs>
          <w:tab w:val="left" w:pos="-2268"/>
        </w:tabs>
        <w:ind w:left="284" w:hanging="218"/>
        <w:jc w:val="both"/>
        <w:rPr>
          <w:rFonts w:ascii="Times New Roman" w:hAnsi="Times New Roman"/>
          <w:bCs/>
          <w:sz w:val="22"/>
          <w:szCs w:val="22"/>
        </w:rPr>
      </w:pPr>
      <w:r w:rsidRPr="00846AE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Поставка Товара осуществляется на основании заявки, </w:t>
      </w:r>
      <w:r w:rsidRPr="00846AE9">
        <w:rPr>
          <w:rFonts w:ascii="Times New Roman" w:hAnsi="Times New Roman"/>
          <w:bCs/>
          <w:sz w:val="22"/>
          <w:szCs w:val="22"/>
        </w:rPr>
        <w:t>направленной посредством автоматизированной системы заказов «Электронный ордер»;</w:t>
      </w:r>
    </w:p>
    <w:p w:rsidR="00846AE9" w:rsidRPr="000A101F" w:rsidRDefault="00846AE9" w:rsidP="004C53CF">
      <w:pPr>
        <w:pStyle w:val="ConsPlusNormal0"/>
        <w:widowControl/>
        <w:numPr>
          <w:ilvl w:val="0"/>
          <w:numId w:val="29"/>
        </w:numPr>
        <w:tabs>
          <w:tab w:val="left" w:pos="-2268"/>
        </w:tabs>
        <w:ind w:left="284" w:hanging="2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Товар </w:t>
      </w:r>
      <w:r w:rsidRPr="00423D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поставля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е</w:t>
      </w:r>
      <w:r w:rsidRPr="00423D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тся в заводской упаковке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;</w:t>
      </w:r>
    </w:p>
    <w:p w:rsidR="000A101F" w:rsidRPr="000A101F" w:rsidRDefault="000A101F" w:rsidP="000A101F">
      <w:pPr>
        <w:pStyle w:val="ConsPlusNormal0"/>
        <w:widowControl/>
        <w:numPr>
          <w:ilvl w:val="0"/>
          <w:numId w:val="29"/>
        </w:numPr>
        <w:tabs>
          <w:tab w:val="left" w:pos="-2268"/>
        </w:tabs>
        <w:ind w:left="284" w:hanging="21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2380">
        <w:rPr>
          <w:rFonts w:ascii="Times New Roman" w:hAnsi="Times New Roman" w:cs="Times New Roman"/>
          <w:sz w:val="22"/>
          <w:szCs w:val="22"/>
        </w:rPr>
        <w:t>Товары с устанавливаемым сроком годности</w:t>
      </w:r>
      <w:r>
        <w:rPr>
          <w:rFonts w:ascii="Times New Roman" w:hAnsi="Times New Roman" w:cs="Times New Roman"/>
          <w:sz w:val="22"/>
          <w:szCs w:val="22"/>
        </w:rPr>
        <w:t>, должны иметь, на дату поставки</w:t>
      </w:r>
      <w:r w:rsidRPr="005B2380">
        <w:rPr>
          <w:rFonts w:ascii="Times New Roman" w:hAnsi="Times New Roman" w:cs="Times New Roman"/>
          <w:sz w:val="22"/>
          <w:szCs w:val="22"/>
        </w:rPr>
        <w:t>, ост</w:t>
      </w:r>
      <w:r>
        <w:rPr>
          <w:rFonts w:ascii="Times New Roman" w:hAnsi="Times New Roman" w:cs="Times New Roman"/>
          <w:sz w:val="22"/>
          <w:szCs w:val="22"/>
        </w:rPr>
        <w:t>аточный срок годности не менее 7</w:t>
      </w:r>
      <w:r w:rsidRPr="005B2380">
        <w:rPr>
          <w:rFonts w:ascii="Times New Roman" w:hAnsi="Times New Roman" w:cs="Times New Roman"/>
          <w:sz w:val="22"/>
          <w:szCs w:val="22"/>
        </w:rPr>
        <w:t>0%.</w:t>
      </w:r>
    </w:p>
    <w:p w:rsidR="00846AE9" w:rsidRDefault="00846AE9" w:rsidP="004C53CF">
      <w:pPr>
        <w:pStyle w:val="ConsPlusNormal0"/>
        <w:widowControl/>
        <w:numPr>
          <w:ilvl w:val="0"/>
          <w:numId w:val="29"/>
        </w:numPr>
        <w:tabs>
          <w:tab w:val="left" w:pos="-2268"/>
        </w:tabs>
        <w:ind w:left="284" w:hanging="218"/>
        <w:jc w:val="both"/>
        <w:rPr>
          <w:rFonts w:ascii="Times New Roman" w:hAnsi="Times New Roman" w:cs="Times New Roman"/>
          <w:sz w:val="22"/>
          <w:szCs w:val="22"/>
        </w:rPr>
      </w:pPr>
      <w:r w:rsidRPr="00906556">
        <w:rPr>
          <w:rFonts w:ascii="Times New Roman" w:hAnsi="Times New Roman" w:cs="Times New Roman"/>
          <w:sz w:val="22"/>
          <w:szCs w:val="22"/>
        </w:rPr>
        <w:t>На поставленный  Товар  Исполнитель  предоставляет гарантию</w:t>
      </w:r>
      <w:r w:rsidR="00024CB5">
        <w:rPr>
          <w:rFonts w:ascii="Times New Roman" w:hAnsi="Times New Roman" w:cs="Times New Roman"/>
          <w:sz w:val="22"/>
          <w:szCs w:val="22"/>
        </w:rPr>
        <w:t xml:space="preserve"> не менее </w:t>
      </w:r>
      <w:r>
        <w:rPr>
          <w:rFonts w:ascii="Times New Roman" w:hAnsi="Times New Roman" w:cs="Times New Roman"/>
          <w:sz w:val="22"/>
          <w:szCs w:val="22"/>
        </w:rPr>
        <w:t>срока</w:t>
      </w:r>
      <w:r w:rsidRPr="00906556">
        <w:rPr>
          <w:rFonts w:ascii="Times New Roman" w:hAnsi="Times New Roman" w:cs="Times New Roman"/>
          <w:sz w:val="22"/>
          <w:szCs w:val="22"/>
        </w:rPr>
        <w:t>, указанного в паспорте на данный Товар.</w:t>
      </w:r>
    </w:p>
    <w:p w:rsidR="00846AE9" w:rsidRPr="00906556" w:rsidRDefault="00846AE9" w:rsidP="004C53CF">
      <w:pPr>
        <w:pStyle w:val="ConsPlusNormal0"/>
        <w:widowControl/>
        <w:numPr>
          <w:ilvl w:val="0"/>
          <w:numId w:val="29"/>
        </w:numPr>
        <w:tabs>
          <w:tab w:val="left" w:pos="-2268"/>
        </w:tabs>
        <w:ind w:left="284" w:hanging="2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Товар должен быть новым, не бывшим в употреблении, не восстановленным, промышленного производства.</w:t>
      </w:r>
    </w:p>
    <w:p w:rsidR="00B47396" w:rsidRPr="000E4B2F" w:rsidRDefault="00B47396" w:rsidP="001B3FF2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1B3FF2" w:rsidRPr="000E4B2F" w:rsidRDefault="001B3FF2" w:rsidP="001B3FF2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0E4B2F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Начальная (максимальная) цена договора:  </w:t>
      </w:r>
    </w:p>
    <w:p w:rsidR="00E22DA0" w:rsidRPr="00E22DA0" w:rsidRDefault="001B3FF2" w:rsidP="000E4B2F">
      <w:pPr>
        <w:pStyle w:val="ConsPlusNormal0"/>
        <w:widowControl/>
        <w:tabs>
          <w:tab w:val="left" w:pos="5505"/>
        </w:tabs>
        <w:ind w:firstLine="0"/>
        <w:jc w:val="both"/>
        <w:rPr>
          <w:rStyle w:val="FontStyle14"/>
          <w:rFonts w:ascii="Times New Roman" w:hAnsi="Times New Roman" w:cs="Times New Roman"/>
          <w:i w:val="0"/>
          <w:sz w:val="22"/>
          <w:szCs w:val="22"/>
        </w:rPr>
      </w:pPr>
      <w:r w:rsidRPr="00E22DA0">
        <w:rPr>
          <w:rFonts w:ascii="Times New Roman" w:hAnsi="Times New Roman" w:cs="Times New Roman"/>
          <w:snapToGrid w:val="0"/>
          <w:sz w:val="22"/>
          <w:szCs w:val="22"/>
        </w:rPr>
        <w:t>Начальная (максимальная) цена договора</w:t>
      </w:r>
      <w:r w:rsidRPr="00E22DA0">
        <w:rPr>
          <w:rFonts w:ascii="Times New Roman" w:hAnsi="Times New Roman" w:cs="Times New Roman"/>
          <w:bCs/>
          <w:sz w:val="22"/>
          <w:szCs w:val="22"/>
        </w:rPr>
        <w:t xml:space="preserve"> не должна превышать</w:t>
      </w:r>
      <w:r w:rsidRPr="00E22DA0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</w:t>
      </w:r>
      <w:r w:rsidR="00E22DA0" w:rsidRPr="00E22DA0">
        <w:rPr>
          <w:rStyle w:val="FontStyle18"/>
        </w:rPr>
        <w:t xml:space="preserve">1 252 028,21 (Один миллион двести пятьдесят две  </w:t>
      </w:r>
      <w:r w:rsidR="00E22DA0" w:rsidRPr="00E22DA0">
        <w:rPr>
          <w:rStyle w:val="FontStyle14"/>
          <w:rFonts w:ascii="Times New Roman" w:hAnsi="Times New Roman" w:cs="Times New Roman"/>
          <w:i w:val="0"/>
          <w:sz w:val="22"/>
          <w:szCs w:val="22"/>
        </w:rPr>
        <w:t>тысячи двадцать восемь рублей 21 копейка)</w:t>
      </w:r>
    </w:p>
    <w:p w:rsidR="000E4B2F" w:rsidRPr="000E4B2F" w:rsidRDefault="000E4B2F" w:rsidP="000E4B2F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0E4B2F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Начальная (максимальная) цена договора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включает</w:t>
      </w:r>
      <w:r w:rsidRPr="000E4B2F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:  </w:t>
      </w:r>
    </w:p>
    <w:p w:rsidR="007648CB" w:rsidRPr="000E4B2F" w:rsidRDefault="000E4B2F" w:rsidP="000E4B2F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0E4B2F">
        <w:rPr>
          <w:rFonts w:ascii="Times New Roman" w:hAnsi="Times New Roman" w:cs="Times New Roman"/>
          <w:snapToGrid w:val="0"/>
          <w:color w:val="000000"/>
          <w:sz w:val="22"/>
          <w:szCs w:val="22"/>
        </w:rPr>
        <w:t>Начальная (максимальная) цена договора</w:t>
      </w:r>
      <w:r w:rsidRPr="000E4B2F">
        <w:rPr>
          <w:rFonts w:ascii="Times New Roman" w:hAnsi="Times New Roman" w:cs="Times New Roman"/>
          <w:bCs/>
          <w:sz w:val="22"/>
          <w:szCs w:val="22"/>
        </w:rPr>
        <w:t xml:space="preserve"> должна включать все </w:t>
      </w:r>
      <w:r w:rsidRPr="000E4B2F">
        <w:rPr>
          <w:rFonts w:ascii="Times New Roman" w:hAnsi="Times New Roman" w:cs="Times New Roman"/>
          <w:sz w:val="22"/>
          <w:szCs w:val="22"/>
        </w:rPr>
        <w:t xml:space="preserve"> расходы на доставку товара, страхование, уплату налогов, таможенных пошлин, сборов и других обязательных платежей.          </w:t>
      </w:r>
    </w:p>
    <w:p w:rsidR="00125280" w:rsidRDefault="00125280" w:rsidP="00852FA0">
      <w:pPr>
        <w:jc w:val="both"/>
        <w:rPr>
          <w:b/>
          <w:bCs/>
          <w:sz w:val="22"/>
          <w:szCs w:val="22"/>
        </w:rPr>
      </w:pPr>
    </w:p>
    <w:p w:rsidR="00B47396" w:rsidRPr="000E4B2F" w:rsidRDefault="000A78FE" w:rsidP="00852FA0">
      <w:pPr>
        <w:jc w:val="both"/>
        <w:rPr>
          <w:sz w:val="22"/>
          <w:szCs w:val="22"/>
        </w:rPr>
      </w:pPr>
      <w:r w:rsidRPr="000E4B2F">
        <w:rPr>
          <w:b/>
          <w:bCs/>
          <w:sz w:val="22"/>
          <w:szCs w:val="22"/>
        </w:rPr>
        <w:t>С</w:t>
      </w:r>
      <w:r w:rsidR="009A2B63" w:rsidRPr="000E4B2F">
        <w:rPr>
          <w:b/>
          <w:bCs/>
          <w:sz w:val="22"/>
          <w:szCs w:val="22"/>
        </w:rPr>
        <w:t xml:space="preserve">рок и </w:t>
      </w:r>
      <w:r w:rsidR="00B47396" w:rsidRPr="000E4B2F">
        <w:rPr>
          <w:b/>
          <w:bCs/>
          <w:sz w:val="22"/>
          <w:szCs w:val="22"/>
        </w:rPr>
        <w:t>порядок</w:t>
      </w:r>
      <w:r w:rsidR="009A2B63" w:rsidRPr="000E4B2F">
        <w:rPr>
          <w:b/>
          <w:bCs/>
          <w:sz w:val="22"/>
          <w:szCs w:val="22"/>
        </w:rPr>
        <w:t xml:space="preserve"> оплаты</w:t>
      </w:r>
      <w:r w:rsidR="00B47396" w:rsidRPr="000E4B2F">
        <w:rPr>
          <w:b/>
          <w:bCs/>
          <w:sz w:val="22"/>
          <w:szCs w:val="22"/>
        </w:rPr>
        <w:t xml:space="preserve"> товара</w:t>
      </w:r>
      <w:r w:rsidR="009A2B63" w:rsidRPr="000E4B2F">
        <w:rPr>
          <w:b/>
          <w:bCs/>
          <w:sz w:val="22"/>
          <w:szCs w:val="22"/>
        </w:rPr>
        <w:t>:</w:t>
      </w:r>
      <w:r w:rsidR="009A2B63" w:rsidRPr="000E4B2F">
        <w:rPr>
          <w:bCs/>
          <w:sz w:val="22"/>
          <w:szCs w:val="22"/>
        </w:rPr>
        <w:t xml:space="preserve"> </w:t>
      </w:r>
    </w:p>
    <w:p w:rsidR="00B47396" w:rsidRPr="000E4B2F" w:rsidRDefault="00B47396" w:rsidP="00B47396">
      <w:pPr>
        <w:jc w:val="both"/>
        <w:rPr>
          <w:sz w:val="22"/>
          <w:szCs w:val="22"/>
        </w:rPr>
      </w:pPr>
      <w:r w:rsidRPr="000E4B2F">
        <w:rPr>
          <w:sz w:val="22"/>
          <w:szCs w:val="22"/>
        </w:rPr>
        <w:t>Оплата Товара Покупателем производится на основании счета, выставленного Поставщиком,  путем перечисления денежных средств на расчет</w:t>
      </w:r>
      <w:r w:rsidR="00471F3F">
        <w:rPr>
          <w:sz w:val="22"/>
          <w:szCs w:val="22"/>
        </w:rPr>
        <w:t>ный счет Поставщика в течение 45 (сорока пяти</w:t>
      </w:r>
      <w:r w:rsidRPr="000E4B2F">
        <w:rPr>
          <w:sz w:val="22"/>
          <w:szCs w:val="22"/>
        </w:rPr>
        <w:t>) дней после принятия Товара Покупателем и подписания Сторонами товарной накладной формы ТОРГ-12.</w:t>
      </w:r>
    </w:p>
    <w:p w:rsidR="00B47396" w:rsidRPr="000E4B2F" w:rsidRDefault="00B47396" w:rsidP="00DA7324">
      <w:pPr>
        <w:pStyle w:val="ac"/>
        <w:spacing w:before="29" w:after="29"/>
        <w:jc w:val="both"/>
        <w:rPr>
          <w:sz w:val="22"/>
          <w:szCs w:val="22"/>
          <w:u w:val="single"/>
        </w:rPr>
      </w:pPr>
    </w:p>
    <w:p w:rsidR="00F642FC" w:rsidRPr="000E4B2F" w:rsidRDefault="00F642FC" w:rsidP="00DA7324">
      <w:pPr>
        <w:pStyle w:val="ac"/>
        <w:spacing w:before="29" w:after="29"/>
        <w:jc w:val="both"/>
        <w:rPr>
          <w:sz w:val="22"/>
          <w:szCs w:val="22"/>
          <w:u w:val="single"/>
        </w:rPr>
      </w:pPr>
      <w:r w:rsidRPr="000E4B2F">
        <w:rPr>
          <w:b/>
          <w:sz w:val="22"/>
          <w:szCs w:val="22"/>
        </w:rPr>
        <w:t>Источник финансирования:</w:t>
      </w:r>
      <w:r w:rsidR="00180E68" w:rsidRPr="000E4B2F">
        <w:rPr>
          <w:b/>
          <w:sz w:val="22"/>
          <w:szCs w:val="22"/>
        </w:rPr>
        <w:t xml:space="preserve"> </w:t>
      </w:r>
      <w:r w:rsidR="003E0756">
        <w:rPr>
          <w:sz w:val="22"/>
          <w:szCs w:val="22"/>
        </w:rPr>
        <w:t xml:space="preserve">средства </w:t>
      </w:r>
      <w:r w:rsidR="00846AE9">
        <w:rPr>
          <w:sz w:val="22"/>
          <w:szCs w:val="22"/>
        </w:rPr>
        <w:t>Заказчика</w:t>
      </w:r>
      <w:r w:rsidR="00180E68" w:rsidRPr="000E4B2F">
        <w:rPr>
          <w:sz w:val="22"/>
          <w:szCs w:val="22"/>
        </w:rPr>
        <w:t>.</w:t>
      </w:r>
    </w:p>
    <w:p w:rsidR="00B47396" w:rsidRPr="000E4B2F" w:rsidRDefault="00B47396" w:rsidP="00DA7324">
      <w:pPr>
        <w:pStyle w:val="ac"/>
        <w:spacing w:before="29" w:after="29"/>
        <w:jc w:val="both"/>
        <w:rPr>
          <w:sz w:val="22"/>
          <w:szCs w:val="22"/>
          <w:u w:val="single"/>
        </w:rPr>
      </w:pPr>
    </w:p>
    <w:p w:rsidR="001F29F0" w:rsidRPr="000E4B2F" w:rsidRDefault="001F29F0" w:rsidP="001F29F0">
      <w:pPr>
        <w:pStyle w:val="ac"/>
        <w:spacing w:before="29" w:after="29"/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>Место подачи котировочных заявок:</w:t>
      </w:r>
    </w:p>
    <w:p w:rsidR="001F29F0" w:rsidRPr="0086536E" w:rsidRDefault="001F29F0" w:rsidP="001F29F0">
      <w:pPr>
        <w:rPr>
          <w:bCs/>
          <w:sz w:val="22"/>
          <w:szCs w:val="22"/>
        </w:rPr>
      </w:pPr>
      <w:proofErr w:type="gramStart"/>
      <w:r w:rsidRPr="0086536E">
        <w:rPr>
          <w:sz w:val="22"/>
          <w:szCs w:val="22"/>
        </w:rPr>
        <w:t>160009</w:t>
      </w:r>
      <w:r w:rsidRPr="0086536E">
        <w:rPr>
          <w:i/>
          <w:sz w:val="22"/>
          <w:szCs w:val="22"/>
        </w:rPr>
        <w:t>,</w:t>
      </w:r>
      <w:r w:rsidRPr="0086536E">
        <w:rPr>
          <w:sz w:val="22"/>
          <w:szCs w:val="22"/>
        </w:rPr>
        <w:t xml:space="preserve"> Россия, г. Вологда, ул. Челюскинцев, д. 48</w:t>
      </w:r>
      <w:r w:rsidRPr="0086536E">
        <w:rPr>
          <w:bCs/>
          <w:sz w:val="22"/>
          <w:szCs w:val="22"/>
        </w:rPr>
        <w:t>, приемная главного врача.</w:t>
      </w:r>
      <w:proofErr w:type="gramEnd"/>
    </w:p>
    <w:p w:rsidR="001F29F0" w:rsidRPr="0086536E" w:rsidRDefault="001F29F0" w:rsidP="001F29F0">
      <w:pPr>
        <w:pStyle w:val="ac"/>
        <w:spacing w:before="29" w:after="29"/>
        <w:jc w:val="both"/>
        <w:rPr>
          <w:bCs/>
          <w:sz w:val="22"/>
          <w:szCs w:val="22"/>
        </w:rPr>
      </w:pPr>
    </w:p>
    <w:p w:rsidR="001F29F0" w:rsidRPr="0086536E" w:rsidRDefault="001F29F0" w:rsidP="001F29F0">
      <w:pPr>
        <w:pStyle w:val="ac"/>
        <w:spacing w:before="29" w:after="29"/>
        <w:jc w:val="both"/>
        <w:rPr>
          <w:b/>
          <w:bCs/>
          <w:sz w:val="22"/>
          <w:szCs w:val="22"/>
        </w:rPr>
      </w:pPr>
      <w:r w:rsidRPr="0086536E">
        <w:rPr>
          <w:b/>
          <w:bCs/>
          <w:sz w:val="22"/>
          <w:szCs w:val="22"/>
        </w:rPr>
        <w:t xml:space="preserve">Дата и время начала срока подачи котировочных заявок: </w:t>
      </w:r>
    </w:p>
    <w:p w:rsidR="001F29F0" w:rsidRPr="0086536E" w:rsidRDefault="008A54F0" w:rsidP="001F29F0">
      <w:pPr>
        <w:pStyle w:val="ac"/>
        <w:spacing w:before="29" w:after="29"/>
        <w:jc w:val="both"/>
        <w:rPr>
          <w:bCs/>
          <w:sz w:val="22"/>
          <w:szCs w:val="22"/>
        </w:rPr>
      </w:pPr>
      <w:r w:rsidRPr="0086536E">
        <w:rPr>
          <w:bCs/>
          <w:sz w:val="22"/>
          <w:szCs w:val="22"/>
        </w:rPr>
        <w:t>« 10 » января 2020</w:t>
      </w:r>
      <w:r w:rsidR="001F29F0" w:rsidRPr="0086536E">
        <w:rPr>
          <w:bCs/>
          <w:sz w:val="22"/>
          <w:szCs w:val="22"/>
        </w:rPr>
        <w:t xml:space="preserve"> года  в 13 часов 00 минут  московского времени. </w:t>
      </w:r>
    </w:p>
    <w:p w:rsidR="001F29F0" w:rsidRPr="0086536E" w:rsidRDefault="001F29F0" w:rsidP="001F29F0">
      <w:pPr>
        <w:pStyle w:val="ac"/>
        <w:spacing w:before="29" w:after="29"/>
        <w:jc w:val="both"/>
        <w:rPr>
          <w:bCs/>
          <w:sz w:val="22"/>
          <w:szCs w:val="22"/>
        </w:rPr>
      </w:pPr>
    </w:p>
    <w:p w:rsidR="001F29F0" w:rsidRPr="0086536E" w:rsidRDefault="001F29F0" w:rsidP="001F29F0">
      <w:pPr>
        <w:pStyle w:val="ac"/>
        <w:spacing w:before="29" w:after="29"/>
        <w:jc w:val="both"/>
        <w:rPr>
          <w:b/>
          <w:bCs/>
          <w:sz w:val="22"/>
          <w:szCs w:val="22"/>
        </w:rPr>
      </w:pPr>
      <w:r w:rsidRPr="0086536E">
        <w:rPr>
          <w:b/>
          <w:bCs/>
          <w:sz w:val="22"/>
          <w:szCs w:val="22"/>
        </w:rPr>
        <w:t xml:space="preserve">Дата и время окончания срока подачи котировочных заявок: </w:t>
      </w:r>
    </w:p>
    <w:p w:rsidR="001F29F0" w:rsidRPr="0086536E" w:rsidRDefault="008A54F0" w:rsidP="001F29F0">
      <w:pPr>
        <w:pStyle w:val="ac"/>
        <w:spacing w:before="29" w:after="29"/>
        <w:jc w:val="both"/>
        <w:rPr>
          <w:bCs/>
          <w:sz w:val="22"/>
          <w:szCs w:val="22"/>
        </w:rPr>
      </w:pPr>
      <w:r w:rsidRPr="0086536E">
        <w:rPr>
          <w:bCs/>
          <w:sz w:val="22"/>
          <w:szCs w:val="22"/>
        </w:rPr>
        <w:t>« 17 » января 2020 года в 13</w:t>
      </w:r>
      <w:r w:rsidR="001F29F0" w:rsidRPr="0086536E">
        <w:rPr>
          <w:bCs/>
          <w:sz w:val="22"/>
          <w:szCs w:val="22"/>
        </w:rPr>
        <w:t xml:space="preserve"> часов 00 минут  московского времени.</w:t>
      </w:r>
    </w:p>
    <w:p w:rsidR="001F29F0" w:rsidRPr="0086536E" w:rsidRDefault="001F29F0" w:rsidP="001F29F0">
      <w:pPr>
        <w:pStyle w:val="ac"/>
        <w:spacing w:before="29" w:after="29"/>
        <w:jc w:val="both"/>
        <w:rPr>
          <w:bCs/>
          <w:sz w:val="22"/>
          <w:szCs w:val="22"/>
        </w:rPr>
      </w:pPr>
    </w:p>
    <w:p w:rsidR="001F29F0" w:rsidRPr="0086536E" w:rsidRDefault="001F29F0" w:rsidP="001F29F0">
      <w:pPr>
        <w:jc w:val="both"/>
        <w:rPr>
          <w:b/>
          <w:bCs/>
          <w:sz w:val="22"/>
          <w:szCs w:val="22"/>
        </w:rPr>
      </w:pPr>
      <w:r w:rsidRPr="0086536E">
        <w:rPr>
          <w:b/>
          <w:bCs/>
          <w:sz w:val="22"/>
          <w:szCs w:val="22"/>
        </w:rPr>
        <w:t>Место и дата вскрытия заявок, рассмотрения предложений участников закупки и подведения итогов закупки:</w:t>
      </w:r>
    </w:p>
    <w:p w:rsidR="001F29F0" w:rsidRPr="0086536E" w:rsidRDefault="008A54F0" w:rsidP="001F29F0">
      <w:pPr>
        <w:rPr>
          <w:bCs/>
          <w:sz w:val="22"/>
          <w:szCs w:val="22"/>
        </w:rPr>
      </w:pPr>
      <w:r w:rsidRPr="0086536E">
        <w:rPr>
          <w:bCs/>
          <w:sz w:val="22"/>
          <w:szCs w:val="22"/>
        </w:rPr>
        <w:t>«17 » января 2020 г. в  13 часов 3</w:t>
      </w:r>
      <w:r w:rsidR="001F29F0" w:rsidRPr="0086536E">
        <w:rPr>
          <w:bCs/>
          <w:sz w:val="22"/>
          <w:szCs w:val="22"/>
        </w:rPr>
        <w:t xml:space="preserve">0 минут  московского времени по адресу: </w:t>
      </w:r>
    </w:p>
    <w:p w:rsidR="001F29F0" w:rsidRPr="0086536E" w:rsidRDefault="001F29F0" w:rsidP="001F29F0">
      <w:pPr>
        <w:rPr>
          <w:bCs/>
          <w:sz w:val="22"/>
          <w:szCs w:val="22"/>
        </w:rPr>
      </w:pPr>
      <w:r w:rsidRPr="0086536E">
        <w:rPr>
          <w:sz w:val="22"/>
          <w:szCs w:val="22"/>
        </w:rPr>
        <w:t>160009</w:t>
      </w:r>
      <w:r w:rsidRPr="0086536E">
        <w:rPr>
          <w:i/>
          <w:sz w:val="22"/>
          <w:szCs w:val="22"/>
        </w:rPr>
        <w:t>,</w:t>
      </w:r>
      <w:r w:rsidRPr="0086536E">
        <w:rPr>
          <w:sz w:val="22"/>
          <w:szCs w:val="22"/>
        </w:rPr>
        <w:t xml:space="preserve"> Россия, </w:t>
      </w:r>
      <w:proofErr w:type="gramStart"/>
      <w:r w:rsidRPr="0086536E">
        <w:rPr>
          <w:sz w:val="22"/>
          <w:szCs w:val="22"/>
        </w:rPr>
        <w:t>г</w:t>
      </w:r>
      <w:proofErr w:type="gramEnd"/>
      <w:r w:rsidRPr="0086536E">
        <w:rPr>
          <w:sz w:val="22"/>
          <w:szCs w:val="22"/>
        </w:rPr>
        <w:t>. Вологда, ул. Челюскинцев, д. 48</w:t>
      </w:r>
      <w:r w:rsidRPr="0086536E">
        <w:rPr>
          <w:bCs/>
          <w:sz w:val="22"/>
          <w:szCs w:val="22"/>
        </w:rPr>
        <w:t>, кабинет заместителя главного врача по экономическим вопросам</w:t>
      </w:r>
    </w:p>
    <w:p w:rsidR="006E243E" w:rsidRPr="0086536E" w:rsidRDefault="006E243E" w:rsidP="00A03368">
      <w:pPr>
        <w:pStyle w:val="ac"/>
        <w:spacing w:before="29" w:after="29"/>
        <w:jc w:val="both"/>
        <w:rPr>
          <w:bCs/>
          <w:sz w:val="22"/>
          <w:szCs w:val="22"/>
        </w:rPr>
      </w:pPr>
    </w:p>
    <w:p w:rsidR="006E243E" w:rsidRPr="0086536E" w:rsidRDefault="006E243E" w:rsidP="00A03368">
      <w:pPr>
        <w:pStyle w:val="ac"/>
        <w:spacing w:before="29" w:after="29"/>
        <w:jc w:val="both"/>
        <w:rPr>
          <w:b/>
          <w:bCs/>
          <w:i/>
          <w:sz w:val="22"/>
          <w:szCs w:val="22"/>
        </w:rPr>
      </w:pPr>
      <w:r w:rsidRPr="0086536E">
        <w:rPr>
          <w:b/>
          <w:bCs/>
          <w:sz w:val="22"/>
          <w:szCs w:val="22"/>
        </w:rPr>
        <w:t>Критерии оценки и сопоставления заявок на участие в закупке:</w:t>
      </w:r>
    </w:p>
    <w:p w:rsidR="00F642FC" w:rsidRPr="0086536E" w:rsidRDefault="00511542" w:rsidP="00DA7324">
      <w:pPr>
        <w:pStyle w:val="ac"/>
        <w:spacing w:before="29" w:after="29"/>
        <w:jc w:val="both"/>
        <w:rPr>
          <w:bCs/>
          <w:sz w:val="22"/>
          <w:szCs w:val="22"/>
        </w:rPr>
      </w:pPr>
      <w:r w:rsidRPr="0086536E">
        <w:rPr>
          <w:bCs/>
          <w:sz w:val="22"/>
          <w:szCs w:val="22"/>
        </w:rPr>
        <w:t>Наименьшая цена  договора.</w:t>
      </w:r>
    </w:p>
    <w:p w:rsidR="00511542" w:rsidRPr="000E4B2F" w:rsidRDefault="00511542" w:rsidP="00DA7324">
      <w:pPr>
        <w:pStyle w:val="ac"/>
        <w:spacing w:before="29" w:after="29"/>
        <w:jc w:val="both"/>
        <w:rPr>
          <w:bCs/>
          <w:sz w:val="22"/>
          <w:szCs w:val="22"/>
        </w:rPr>
      </w:pPr>
    </w:p>
    <w:p w:rsidR="00DA7324" w:rsidRPr="000E4B2F" w:rsidRDefault="00DA7324" w:rsidP="00DA7324">
      <w:pPr>
        <w:pStyle w:val="ac"/>
        <w:spacing w:before="29" w:after="29"/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>Обязательные требования к участникам запроса котировок:</w:t>
      </w:r>
    </w:p>
    <w:p w:rsidR="00DA7324" w:rsidRPr="0064388D" w:rsidRDefault="00DA7324" w:rsidP="00DA7324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1)</w:t>
      </w:r>
      <w:r w:rsidRPr="000E4B2F">
        <w:rPr>
          <w:sz w:val="22"/>
          <w:szCs w:val="22"/>
        </w:rPr>
        <w:t xml:space="preserve">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64388D">
        <w:rPr>
          <w:sz w:val="22"/>
          <w:szCs w:val="22"/>
        </w:rPr>
        <w:t>являющихся</w:t>
      </w:r>
      <w:proofErr w:type="gramEnd"/>
      <w:r w:rsidRPr="0064388D">
        <w:rPr>
          <w:sz w:val="22"/>
          <w:szCs w:val="22"/>
        </w:rPr>
        <w:t xml:space="preserve"> предметом договора – </w:t>
      </w:r>
      <w:r w:rsidRPr="0064388D">
        <w:rPr>
          <w:b/>
          <w:sz w:val="22"/>
          <w:szCs w:val="22"/>
        </w:rPr>
        <w:t>наличие Лицензии;</w:t>
      </w:r>
    </w:p>
    <w:p w:rsidR="00DA7324" w:rsidRPr="000E4B2F" w:rsidRDefault="00DA7324" w:rsidP="00DA7324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2)</w:t>
      </w:r>
      <w:r w:rsidRPr="000E4B2F">
        <w:rPr>
          <w:sz w:val="22"/>
          <w:szCs w:val="22"/>
        </w:rPr>
        <w:t xml:space="preserve"> </w:t>
      </w:r>
      <w:proofErr w:type="spellStart"/>
      <w:r w:rsidRPr="000E4B2F">
        <w:rPr>
          <w:sz w:val="22"/>
          <w:szCs w:val="22"/>
        </w:rPr>
        <w:t>непроведение</w:t>
      </w:r>
      <w:proofErr w:type="spellEnd"/>
      <w:r w:rsidRPr="000E4B2F">
        <w:rPr>
          <w:sz w:val="22"/>
          <w:szCs w:val="22"/>
        </w:rPr>
        <w:t xml:space="preserve"> ликвидации участника закупки −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DA7324" w:rsidRPr="000E4B2F" w:rsidRDefault="00DA7324" w:rsidP="00DA7324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3)</w:t>
      </w:r>
      <w:r w:rsidRPr="000E4B2F">
        <w:rPr>
          <w:sz w:val="22"/>
          <w:szCs w:val="22"/>
        </w:rPr>
        <w:t xml:space="preserve"> </w:t>
      </w:r>
      <w:proofErr w:type="spellStart"/>
      <w:r w:rsidRPr="000E4B2F">
        <w:rPr>
          <w:sz w:val="22"/>
          <w:szCs w:val="22"/>
        </w:rPr>
        <w:t>неприостановление</w:t>
      </w:r>
      <w:proofErr w:type="spellEnd"/>
      <w:r w:rsidRPr="000E4B2F">
        <w:rPr>
          <w:sz w:val="22"/>
          <w:szCs w:val="22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DA7324" w:rsidRPr="000E4B2F" w:rsidRDefault="00DA7324" w:rsidP="00DA7324">
      <w:pPr>
        <w:jc w:val="both"/>
        <w:rPr>
          <w:sz w:val="22"/>
          <w:szCs w:val="22"/>
        </w:rPr>
      </w:pPr>
      <w:proofErr w:type="gramStart"/>
      <w:r w:rsidRPr="000E4B2F">
        <w:rPr>
          <w:b/>
          <w:sz w:val="22"/>
          <w:szCs w:val="22"/>
        </w:rPr>
        <w:t>4)</w:t>
      </w:r>
      <w:r w:rsidRPr="000E4B2F">
        <w:rPr>
          <w:sz w:val="22"/>
          <w:szCs w:val="22"/>
        </w:rPr>
        <w:t xml:space="preserve">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0E4B2F">
        <w:rPr>
          <w:sz w:val="22"/>
          <w:szCs w:val="22"/>
        </w:rPr>
        <w:t xml:space="preserve"> обязанности </w:t>
      </w:r>
      <w:proofErr w:type="gramStart"/>
      <w:r w:rsidRPr="000E4B2F">
        <w:rPr>
          <w:sz w:val="22"/>
          <w:szCs w:val="22"/>
        </w:rPr>
        <w:t>заявителя</w:t>
      </w:r>
      <w:proofErr w:type="gramEnd"/>
      <w:r w:rsidRPr="000E4B2F">
        <w:rPr>
          <w:sz w:val="22"/>
          <w:szCs w:val="22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0E4B2F">
        <w:rPr>
          <w:sz w:val="22"/>
          <w:szCs w:val="22"/>
        </w:rPr>
        <w:t>указанных</w:t>
      </w:r>
      <w:proofErr w:type="gramEnd"/>
      <w:r w:rsidRPr="000E4B2F">
        <w:rPr>
          <w:sz w:val="22"/>
          <w:szCs w:val="22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DA7324" w:rsidRPr="000E4B2F" w:rsidRDefault="00DA7324" w:rsidP="00DA7324">
      <w:pPr>
        <w:jc w:val="both"/>
        <w:rPr>
          <w:sz w:val="22"/>
          <w:szCs w:val="22"/>
        </w:rPr>
      </w:pPr>
      <w:proofErr w:type="gramStart"/>
      <w:r w:rsidRPr="000E4B2F">
        <w:rPr>
          <w:b/>
          <w:sz w:val="22"/>
          <w:szCs w:val="22"/>
        </w:rPr>
        <w:t>5)</w:t>
      </w:r>
      <w:r w:rsidRPr="000E4B2F">
        <w:rPr>
          <w:sz w:val="22"/>
          <w:szCs w:val="22"/>
        </w:rPr>
        <w:t xml:space="preserve"> отсутствие у участника закупки − физического лица либо у руководителя, членов коллегиального исполнительного органа или главного бухгалтера юридического лица −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0E4B2F">
        <w:rPr>
          <w:sz w:val="22"/>
          <w:szCs w:val="22"/>
        </w:rPr>
        <w:t xml:space="preserve"> поставкой товара, выполнением работы, оказанием услуги, </w:t>
      </w:r>
      <w:proofErr w:type="gramStart"/>
      <w:r w:rsidRPr="000E4B2F">
        <w:rPr>
          <w:sz w:val="22"/>
          <w:szCs w:val="22"/>
        </w:rPr>
        <w:t>являющихся</w:t>
      </w:r>
      <w:proofErr w:type="gramEnd"/>
      <w:r w:rsidRPr="000E4B2F">
        <w:rPr>
          <w:sz w:val="22"/>
          <w:szCs w:val="22"/>
        </w:rPr>
        <w:t xml:space="preserve"> объектом осуществляемой закупки, и административного наказания в виде дисквалификации;</w:t>
      </w:r>
    </w:p>
    <w:p w:rsidR="00DA7324" w:rsidRPr="000E4B2F" w:rsidRDefault="00DA7324" w:rsidP="00DA7324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6)</w:t>
      </w:r>
      <w:r w:rsidRPr="000E4B2F">
        <w:rPr>
          <w:sz w:val="22"/>
          <w:szCs w:val="22"/>
        </w:rPr>
        <w:t xml:space="preserve">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DA7324" w:rsidRPr="000E4B2F" w:rsidRDefault="00DA7324" w:rsidP="00450A20">
      <w:pPr>
        <w:jc w:val="both"/>
        <w:rPr>
          <w:b/>
          <w:sz w:val="22"/>
          <w:szCs w:val="22"/>
        </w:rPr>
      </w:pPr>
      <w:proofErr w:type="gramStart"/>
      <w:r w:rsidRPr="000E4B2F">
        <w:rPr>
          <w:b/>
          <w:sz w:val="22"/>
          <w:szCs w:val="22"/>
        </w:rPr>
        <w:t>7)</w:t>
      </w:r>
      <w:r w:rsidRPr="000E4B2F">
        <w:rPr>
          <w:sz w:val="22"/>
          <w:szCs w:val="22"/>
        </w:rPr>
        <w:t xml:space="preserve"> отсутствие между у</w:t>
      </w:r>
      <w:r w:rsidR="00D17AA9" w:rsidRPr="000E4B2F">
        <w:rPr>
          <w:sz w:val="22"/>
          <w:szCs w:val="22"/>
        </w:rPr>
        <w:t xml:space="preserve">частником закупки и заказчиком </w:t>
      </w:r>
      <w:r w:rsidRPr="000E4B2F">
        <w:rPr>
          <w:sz w:val="22"/>
          <w:szCs w:val="22"/>
        </w:rPr>
        <w:t xml:space="preserve"> конфликта интересов, под которым понимаются случаи, при которых руководитель заказчика и/или организатора процедуры закупки, член экспертной группы, член комиссии, лицо, ответственное за организацию конкурентной процедуры, состоят в браке с физическими лицами, являющимися </w:t>
      </w:r>
      <w:proofErr w:type="spellStart"/>
      <w:r w:rsidRPr="000E4B2F">
        <w:rPr>
          <w:sz w:val="22"/>
          <w:szCs w:val="22"/>
        </w:rPr>
        <w:t>выгодоприобретателями</w:t>
      </w:r>
      <w:proofErr w:type="spellEnd"/>
      <w:r w:rsidRPr="000E4B2F">
        <w:rPr>
          <w:sz w:val="22"/>
          <w:szCs w:val="22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</w:t>
      </w:r>
      <w:proofErr w:type="gramEnd"/>
      <w:r w:rsidRPr="000E4B2F">
        <w:rPr>
          <w:sz w:val="22"/>
          <w:szCs w:val="22"/>
        </w:rPr>
        <w:t xml:space="preserve"> (</w:t>
      </w:r>
      <w:proofErr w:type="gramStart"/>
      <w:r w:rsidRPr="000E4B2F">
        <w:rPr>
          <w:sz w:val="22"/>
          <w:szCs w:val="22"/>
        </w:rPr>
        <w:t xml:space="preserve">директором, генеральным директором) учреждения или унитарного предприятия либо иными органами управления юридических лиц - участников </w:t>
      </w:r>
      <w:r w:rsidRPr="000E4B2F">
        <w:rPr>
          <w:sz w:val="22"/>
          <w:szCs w:val="22"/>
        </w:rPr>
        <w:lastRenderedPageBreak/>
        <w:t xml:space="preserve">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E4B2F">
        <w:rPr>
          <w:sz w:val="22"/>
          <w:szCs w:val="22"/>
        </w:rPr>
        <w:t>неполнородными</w:t>
      </w:r>
      <w:proofErr w:type="spellEnd"/>
      <w:r w:rsidRPr="000E4B2F">
        <w:rPr>
          <w:sz w:val="22"/>
          <w:szCs w:val="22"/>
        </w:rPr>
        <w:t xml:space="preserve"> (имеющими общих отца или мать) братьями и сестрами), усыновителями или усыновленными</w:t>
      </w:r>
      <w:proofErr w:type="gramEnd"/>
      <w:r w:rsidRPr="000E4B2F">
        <w:rPr>
          <w:sz w:val="22"/>
          <w:szCs w:val="22"/>
        </w:rPr>
        <w:t xml:space="preserve"> указанных физических лиц. Под </w:t>
      </w:r>
      <w:proofErr w:type="spellStart"/>
      <w:r w:rsidRPr="000E4B2F">
        <w:rPr>
          <w:sz w:val="22"/>
          <w:szCs w:val="22"/>
        </w:rPr>
        <w:t>выгодоприобретателями</w:t>
      </w:r>
      <w:proofErr w:type="spellEnd"/>
      <w:r w:rsidRPr="000E4B2F">
        <w:rPr>
          <w:sz w:val="22"/>
          <w:szCs w:val="22"/>
        </w:rPr>
        <w:t xml:space="preserve"> в данном случае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3D4EDC" w:rsidRDefault="003D4EDC" w:rsidP="00DA7324">
      <w:pPr>
        <w:ind w:firstLine="720"/>
        <w:jc w:val="both"/>
        <w:rPr>
          <w:b/>
          <w:sz w:val="22"/>
          <w:szCs w:val="22"/>
        </w:rPr>
      </w:pPr>
    </w:p>
    <w:p w:rsidR="00DA7324" w:rsidRPr="000E4B2F" w:rsidRDefault="00DA7324" w:rsidP="00DA7324">
      <w:pPr>
        <w:ind w:firstLine="720"/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>Данные сведения участникам необходимо подтвердить соответствующими документами, приложенными к котировочной заявке, для установления их соответствия установленным требованиям (оригиналы или надлежащим образом заверенные копии).</w:t>
      </w:r>
    </w:p>
    <w:p w:rsidR="00113996" w:rsidRDefault="00113996" w:rsidP="003D4EDC">
      <w:pPr>
        <w:pStyle w:val="ac"/>
        <w:spacing w:after="0"/>
        <w:jc w:val="both"/>
        <w:rPr>
          <w:b/>
          <w:sz w:val="22"/>
          <w:szCs w:val="22"/>
        </w:rPr>
      </w:pPr>
    </w:p>
    <w:p w:rsidR="003D4EDC" w:rsidRPr="00450A20" w:rsidRDefault="003D4EDC" w:rsidP="003D4EDC">
      <w:pPr>
        <w:pStyle w:val="ac"/>
        <w:spacing w:after="0"/>
        <w:jc w:val="both"/>
        <w:rPr>
          <w:b/>
          <w:sz w:val="22"/>
          <w:szCs w:val="22"/>
        </w:rPr>
      </w:pPr>
      <w:r w:rsidRPr="00450A20">
        <w:rPr>
          <w:b/>
          <w:sz w:val="22"/>
          <w:szCs w:val="22"/>
        </w:rPr>
        <w:t xml:space="preserve">Требования к котировочным заявкам: </w:t>
      </w:r>
    </w:p>
    <w:p w:rsidR="003D4EDC" w:rsidRPr="00DF7F97" w:rsidRDefault="003D4EDC" w:rsidP="003D4ED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50A20">
        <w:rPr>
          <w:b/>
          <w:sz w:val="22"/>
          <w:szCs w:val="22"/>
        </w:rPr>
        <w:t>1</w:t>
      </w:r>
      <w:r w:rsidRPr="00DF7F97">
        <w:rPr>
          <w:b/>
          <w:sz w:val="22"/>
          <w:szCs w:val="22"/>
        </w:rPr>
        <w:t>)  В составе котировочной заявки должны быть представлены: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sz w:val="22"/>
          <w:szCs w:val="22"/>
        </w:rPr>
        <w:t>наименование поставляемых товаров, выполняемых работ, оказываемых услуг согласно предмету закупки (в случае осуществления закупки товаров также указываются характеристики поставляемых товаров);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F7BAB">
        <w:rPr>
          <w:sz w:val="22"/>
          <w:szCs w:val="22"/>
        </w:rPr>
        <w:t>наименование, организационно-правовая форма, место нахождения, почтовый адрес участника закупки (для юридического лица), фамилия, имя, отчество, паспортные данные, место жительства участника закупки (для физического лица), номер телефона, адрес электронной почты, банковские реквизиты;</w:t>
      </w:r>
      <w:proofErr w:type="gramEnd"/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идентификационный номер налогоплательщика (при его наличии);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согласие участника закупки с условиями договора, указанными в запросе котировок;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F5858">
        <w:rPr>
          <w:b/>
          <w:i/>
          <w:sz w:val="22"/>
          <w:szCs w:val="22"/>
        </w:rPr>
        <w:t>документы (копии документов), подтверждающие соответствие участников закупки установленным требованиям, а именно</w:t>
      </w:r>
      <w:r w:rsidRPr="000F7BAB">
        <w:rPr>
          <w:sz w:val="22"/>
          <w:szCs w:val="22"/>
        </w:rPr>
        <w:t>: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Учредительные документы с учетом внесенных в них изменений, свидетельства о государственной регистрации учредительных документов и внесенных в них изменений;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Свидетельство о государственной регистрации контрагента, свидетельство о внесении в государственный реестр изменений в сведения о юридическом лице, не связанных с внесением в учредительные документы, свидетельство о постановке на учет в налоговом органе;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Выписка из единого государственного реестра юридических лиц, выданная регистрирующим органом не ранее чем за один месяц до предоставления документов;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F7BAB">
        <w:rPr>
          <w:sz w:val="22"/>
          <w:szCs w:val="22"/>
        </w:rPr>
        <w:t>Документы, подтверждающие полномочия лица на подписание договора, оформленные надлежащим образом (протокол (решение) уполномоченного органа управления контрагента о назначении Исполнительного органа; оригинал доверенности, если договор со стороны контрагента подписан не единоличным Исполнительным органом; согласие соответствующего органа управления контрагента на совершение сделки, предусмотренной договором, в случаях, когда это определено законодательством Российской Федерации и учредительными документами контрагента);</w:t>
      </w:r>
      <w:proofErr w:type="gramEnd"/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Согласие контролирующих органов на совершение сделки или подтверждение уведомления соответствующих органов о совершении сделки в случаях, когда такое согласие или уведомление предусмотрено законодательством Российской Федерации;</w:t>
      </w:r>
    </w:p>
    <w:p w:rsidR="003D4EDC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 xml:space="preserve">Лицензии, если деятельность, которую осуществляет контрагент, подлежит лицензированию в соответствии с законодательством Российской Федерации; </w:t>
      </w:r>
    </w:p>
    <w:p w:rsidR="003D4EDC" w:rsidRPr="0064388D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4388D">
        <w:rPr>
          <w:sz w:val="22"/>
          <w:szCs w:val="22"/>
        </w:rPr>
        <w:t>Информационная справка, содержащая сведения о владельцах контрагента, включая конечных бенефициаров, с приложением подтверждающих документов;</w:t>
      </w:r>
    </w:p>
    <w:p w:rsidR="003D4EDC" w:rsidRPr="000F7BAB" w:rsidRDefault="003D4EDC" w:rsidP="003D4ED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Документы, подтверждающие соответствие товаров, работ, услуг, предлагаемых участником закупки в котировочной заявке, установленным требованиям. Регистрационные удостоверения, сертификаты и декларация соответствия на предлагаемый Товар и другие соответствующие информационные справки.</w:t>
      </w:r>
    </w:p>
    <w:p w:rsidR="003D4EDC" w:rsidRPr="00450A20" w:rsidRDefault="003D4EDC" w:rsidP="003D4E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2)</w:t>
      </w:r>
      <w:r w:rsidRPr="00450A20">
        <w:rPr>
          <w:sz w:val="22"/>
          <w:szCs w:val="22"/>
        </w:rPr>
        <w:t xml:space="preserve"> заявки представляются на бумажном носителе  в месте и до истечения срока, которые указаны в извещении о закупке.</w:t>
      </w:r>
    </w:p>
    <w:p w:rsidR="003D4EDC" w:rsidRPr="00450A20" w:rsidRDefault="003D4EDC" w:rsidP="003D4E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lastRenderedPageBreak/>
        <w:t>3)</w:t>
      </w:r>
      <w:r w:rsidRPr="00450A20">
        <w:rPr>
          <w:sz w:val="22"/>
          <w:szCs w:val="22"/>
        </w:rPr>
        <w:t xml:space="preserve"> в  случае наличия в составе заявки документов и информации, текст которых не поддается прочтению, такие документы и информация считаются </w:t>
      </w:r>
      <w:proofErr w:type="spellStart"/>
      <w:r w:rsidRPr="00450A20">
        <w:rPr>
          <w:sz w:val="22"/>
          <w:szCs w:val="22"/>
        </w:rPr>
        <w:t>непредставленными</w:t>
      </w:r>
      <w:proofErr w:type="spellEnd"/>
      <w:r w:rsidRPr="00450A20">
        <w:rPr>
          <w:sz w:val="22"/>
          <w:szCs w:val="22"/>
        </w:rPr>
        <w:t>.</w:t>
      </w:r>
    </w:p>
    <w:p w:rsidR="003D4EDC" w:rsidRPr="00450A20" w:rsidRDefault="003D4EDC" w:rsidP="003D4E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4)</w:t>
      </w:r>
      <w:r w:rsidRPr="00450A20">
        <w:rPr>
          <w:sz w:val="22"/>
          <w:szCs w:val="22"/>
        </w:rPr>
        <w:t xml:space="preserve"> участник закупки может подать только одну заявку по одному лоту для участия в закупке. Если участник закупки подает более одной заявки по лоту, а ранее поданные им заявки по этому лоту не отозваны, все заявки такого участника закупки по лоту отклоняются.</w:t>
      </w:r>
    </w:p>
    <w:p w:rsidR="003D4EDC" w:rsidRPr="00450A20" w:rsidRDefault="003D4EDC" w:rsidP="003D4E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5)</w:t>
      </w:r>
      <w:r w:rsidRPr="00450A20">
        <w:rPr>
          <w:sz w:val="22"/>
          <w:szCs w:val="22"/>
        </w:rPr>
        <w:t xml:space="preserve"> участник закупки вправе изменить или отозвать свою заявку в любой момент до истечения срока подачи заявок.</w:t>
      </w:r>
    </w:p>
    <w:p w:rsidR="003D4EDC" w:rsidRPr="00450A20" w:rsidRDefault="003D4EDC" w:rsidP="003D4E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6)</w:t>
      </w:r>
      <w:r w:rsidRPr="00450A20">
        <w:rPr>
          <w:sz w:val="22"/>
          <w:szCs w:val="22"/>
        </w:rPr>
        <w:t xml:space="preserve"> основанием для отказа в приеме заявки является истечение срока подачи заявок и/или несоответствие конверта с </w:t>
      </w:r>
      <w:proofErr w:type="gramStart"/>
      <w:r w:rsidRPr="00450A20">
        <w:rPr>
          <w:sz w:val="22"/>
          <w:szCs w:val="22"/>
        </w:rPr>
        <w:t>заявкой</w:t>
      </w:r>
      <w:proofErr w:type="gramEnd"/>
      <w:r w:rsidRPr="00450A20">
        <w:rPr>
          <w:sz w:val="22"/>
          <w:szCs w:val="22"/>
        </w:rPr>
        <w:t xml:space="preserve"> установленным требованиям.</w:t>
      </w:r>
    </w:p>
    <w:p w:rsidR="003D4EDC" w:rsidRPr="00450A20" w:rsidRDefault="003D4EDC" w:rsidP="003D4E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7)</w:t>
      </w:r>
      <w:r w:rsidRPr="00450A20">
        <w:rPr>
          <w:sz w:val="22"/>
          <w:szCs w:val="22"/>
        </w:rPr>
        <w:t xml:space="preserve"> на конверте указываются наименование и номер закупки, на участие в которой подается заявка, номер лота, а также наименование, адрес и индивидуальный налоговый номер участника закупки.</w:t>
      </w:r>
    </w:p>
    <w:p w:rsidR="003D4EDC" w:rsidRPr="00450A20" w:rsidRDefault="003D4EDC" w:rsidP="003D4EDC">
      <w:pPr>
        <w:pStyle w:val="af4"/>
        <w:ind w:left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8)</w:t>
      </w:r>
      <w:r w:rsidRPr="00450A20">
        <w:rPr>
          <w:sz w:val="22"/>
          <w:szCs w:val="22"/>
        </w:rPr>
        <w:t xml:space="preserve"> документы, представленные в составе каждого конверта, должны быть прошиты вместе с описью документов, скреплены печатью (при ее наличии) и заверены подписью уполномоченного лица участника. </w:t>
      </w:r>
    </w:p>
    <w:p w:rsidR="003D4EDC" w:rsidRPr="00450A20" w:rsidRDefault="003D4EDC" w:rsidP="003D4EDC">
      <w:pPr>
        <w:pStyle w:val="af4"/>
        <w:suppressAutoHyphens/>
        <w:ind w:left="0"/>
        <w:jc w:val="both"/>
        <w:rPr>
          <w:i/>
          <w:sz w:val="22"/>
          <w:szCs w:val="22"/>
        </w:rPr>
      </w:pPr>
      <w:r w:rsidRPr="00450A20">
        <w:rPr>
          <w:b/>
          <w:sz w:val="22"/>
          <w:szCs w:val="22"/>
        </w:rPr>
        <w:t>9)</w:t>
      </w:r>
      <w:r w:rsidRPr="00450A20">
        <w:rPr>
          <w:sz w:val="22"/>
          <w:szCs w:val="22"/>
        </w:rPr>
        <w:t xml:space="preserve"> все листы котировочной заявки должны быть пронумерованы. </w:t>
      </w:r>
    </w:p>
    <w:p w:rsidR="003D4EDC" w:rsidRPr="003D4EDC" w:rsidRDefault="003D4EDC" w:rsidP="003D4EDC">
      <w:pPr>
        <w:pStyle w:val="af4"/>
        <w:suppressAutoHyphens/>
        <w:ind w:left="0"/>
        <w:jc w:val="both"/>
        <w:rPr>
          <w:i/>
          <w:sz w:val="22"/>
          <w:szCs w:val="22"/>
        </w:rPr>
      </w:pPr>
      <w:r w:rsidRPr="00450A20">
        <w:rPr>
          <w:b/>
          <w:sz w:val="22"/>
          <w:szCs w:val="22"/>
        </w:rPr>
        <w:t>10)</w:t>
      </w:r>
      <w:r w:rsidRPr="00450A20">
        <w:rPr>
          <w:sz w:val="22"/>
          <w:szCs w:val="22"/>
        </w:rPr>
        <w:t xml:space="preserve"> </w:t>
      </w:r>
      <w:proofErr w:type="gramStart"/>
      <w:r w:rsidRPr="00450A20">
        <w:rPr>
          <w:sz w:val="22"/>
          <w:szCs w:val="22"/>
        </w:rPr>
        <w:t>Все рукописные исправления, сделанные в котировочной заявке должны быть завизированы</w:t>
      </w:r>
      <w:proofErr w:type="gramEnd"/>
      <w:r w:rsidRPr="00450A20">
        <w:rPr>
          <w:sz w:val="22"/>
          <w:szCs w:val="22"/>
        </w:rPr>
        <w:t xml:space="preserve"> лицом, подписавшим заявку</w:t>
      </w:r>
      <w:r w:rsidRPr="00450A20">
        <w:rPr>
          <w:bCs/>
          <w:sz w:val="22"/>
          <w:szCs w:val="22"/>
        </w:rPr>
        <w:t xml:space="preserve"> на участие в запросе котировок</w:t>
      </w:r>
      <w:r w:rsidRPr="00450A20">
        <w:rPr>
          <w:sz w:val="22"/>
          <w:szCs w:val="22"/>
        </w:rPr>
        <w:t>.</w:t>
      </w:r>
    </w:p>
    <w:p w:rsidR="00950BFA" w:rsidRDefault="00950BFA" w:rsidP="00DA7324">
      <w:pPr>
        <w:pStyle w:val="ac"/>
        <w:spacing w:before="29" w:after="29"/>
        <w:jc w:val="both"/>
        <w:rPr>
          <w:b/>
          <w:sz w:val="22"/>
          <w:szCs w:val="22"/>
        </w:rPr>
      </w:pPr>
    </w:p>
    <w:p w:rsidR="00DA7324" w:rsidRPr="000E4B2F" w:rsidRDefault="00DA7324" w:rsidP="00DA7324">
      <w:pPr>
        <w:pStyle w:val="ac"/>
        <w:spacing w:before="29" w:after="29"/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 xml:space="preserve">Конкурсная комиссия </w:t>
      </w:r>
      <w:r w:rsidR="00450A20" w:rsidRPr="000E4B2F">
        <w:rPr>
          <w:b/>
          <w:sz w:val="22"/>
          <w:szCs w:val="22"/>
        </w:rPr>
        <w:t xml:space="preserve">может </w:t>
      </w:r>
      <w:r w:rsidRPr="000E4B2F">
        <w:rPr>
          <w:b/>
          <w:sz w:val="22"/>
          <w:szCs w:val="22"/>
        </w:rPr>
        <w:t>отклон</w:t>
      </w:r>
      <w:r w:rsidR="00450A20" w:rsidRPr="000E4B2F">
        <w:rPr>
          <w:b/>
          <w:sz w:val="22"/>
          <w:szCs w:val="22"/>
        </w:rPr>
        <w:t>ить</w:t>
      </w:r>
      <w:r w:rsidRPr="000E4B2F">
        <w:rPr>
          <w:b/>
          <w:sz w:val="22"/>
          <w:szCs w:val="22"/>
        </w:rPr>
        <w:t xml:space="preserve"> котировочные заявки в случае:</w:t>
      </w:r>
    </w:p>
    <w:p w:rsidR="00DA7324" w:rsidRPr="000E4B2F" w:rsidRDefault="00DA7324" w:rsidP="00450A20">
      <w:pPr>
        <w:pStyle w:val="a3"/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1)</w:t>
      </w:r>
      <w:r w:rsidRPr="000E4B2F">
        <w:rPr>
          <w:sz w:val="22"/>
          <w:szCs w:val="22"/>
        </w:rPr>
        <w:t xml:space="preserve"> несоответствия котировочной заявки требованиям, указанным в запросе котировок;</w:t>
      </w:r>
    </w:p>
    <w:p w:rsidR="00DA7324" w:rsidRPr="000E4B2F" w:rsidRDefault="00DA7324" w:rsidP="00450A20">
      <w:pPr>
        <w:pStyle w:val="a3"/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2)</w:t>
      </w:r>
      <w:r w:rsidRPr="000E4B2F">
        <w:rPr>
          <w:sz w:val="22"/>
          <w:szCs w:val="22"/>
        </w:rPr>
        <w:t xml:space="preserve"> при предложении в котировочной заявке цены товаров, работ, услуг выше начальной (максимальной) цены договора;</w:t>
      </w:r>
    </w:p>
    <w:p w:rsidR="00DA7324" w:rsidRPr="000E4B2F" w:rsidRDefault="00DA7324" w:rsidP="00450A20">
      <w:pPr>
        <w:pStyle w:val="a3"/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3)</w:t>
      </w:r>
      <w:r w:rsidRPr="000E4B2F">
        <w:rPr>
          <w:sz w:val="22"/>
          <w:szCs w:val="22"/>
        </w:rPr>
        <w:t xml:space="preserve"> отказа от проведения запроса котировок;</w:t>
      </w:r>
    </w:p>
    <w:p w:rsidR="00DA7324" w:rsidRPr="000E4B2F" w:rsidRDefault="00DA7324" w:rsidP="00450A20">
      <w:pPr>
        <w:pStyle w:val="a3"/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4)</w:t>
      </w:r>
      <w:r w:rsidRPr="000E4B2F">
        <w:rPr>
          <w:sz w:val="22"/>
          <w:szCs w:val="22"/>
        </w:rPr>
        <w:t xml:space="preserve"> непредставления участником закупки разъяснений положений котировочной заявки (в случае наличия требования заказчика).</w:t>
      </w:r>
    </w:p>
    <w:p w:rsidR="00DA7324" w:rsidRPr="000E4B2F" w:rsidRDefault="00DA7324" w:rsidP="00DA7324">
      <w:pPr>
        <w:pStyle w:val="a3"/>
        <w:jc w:val="both"/>
        <w:rPr>
          <w:sz w:val="22"/>
          <w:szCs w:val="22"/>
        </w:rPr>
      </w:pPr>
    </w:p>
    <w:p w:rsidR="00450A20" w:rsidRPr="000E4B2F" w:rsidRDefault="00450A20" w:rsidP="00DA7324">
      <w:pPr>
        <w:pStyle w:val="a3"/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>Право отказа от проведения процедуры:</w:t>
      </w:r>
    </w:p>
    <w:p w:rsidR="00DA7324" w:rsidRPr="000E4B2F" w:rsidRDefault="00DA7324" w:rsidP="00DA7324">
      <w:pPr>
        <w:pStyle w:val="a3"/>
        <w:jc w:val="both"/>
        <w:rPr>
          <w:sz w:val="22"/>
          <w:szCs w:val="22"/>
        </w:rPr>
      </w:pPr>
      <w:r w:rsidRPr="000E4B2F">
        <w:rPr>
          <w:sz w:val="22"/>
          <w:szCs w:val="22"/>
        </w:rPr>
        <w:t xml:space="preserve">Заказчик вправе отказаться от проведения запроса котировок в любое время, в том числе после подписания протокола по результатам закупки, не неся при этом никакой ответственности перед </w:t>
      </w:r>
      <w:r w:rsidR="000E433E" w:rsidRPr="000E4B2F">
        <w:rPr>
          <w:sz w:val="22"/>
          <w:szCs w:val="22"/>
        </w:rPr>
        <w:t>любыми физическими и юридическими лицами,</w:t>
      </w:r>
      <w:r w:rsidRPr="000E4B2F">
        <w:rPr>
          <w:sz w:val="22"/>
          <w:szCs w:val="22"/>
        </w:rPr>
        <w:t xml:space="preserve"> которым такое действие может принести убытки.</w:t>
      </w:r>
    </w:p>
    <w:p w:rsidR="00B65744" w:rsidRPr="000E4B2F" w:rsidRDefault="00B65744" w:rsidP="00DA7324">
      <w:pPr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 xml:space="preserve">Рассмотрение и оценка котировочных заявок: </w:t>
      </w:r>
    </w:p>
    <w:p w:rsidR="002E7209" w:rsidRPr="000E4B2F" w:rsidRDefault="009E378F" w:rsidP="002E7209">
      <w:pPr>
        <w:jc w:val="both"/>
        <w:rPr>
          <w:sz w:val="22"/>
          <w:szCs w:val="22"/>
        </w:rPr>
      </w:pPr>
      <w:proofErr w:type="gramStart"/>
      <w:r w:rsidRPr="000E4B2F">
        <w:rPr>
          <w:sz w:val="22"/>
          <w:szCs w:val="22"/>
        </w:rPr>
        <w:t>П</w:t>
      </w:r>
      <w:r w:rsidR="00DA7324" w:rsidRPr="000E4B2F">
        <w:rPr>
          <w:sz w:val="22"/>
          <w:szCs w:val="22"/>
        </w:rPr>
        <w:t xml:space="preserve">о результатам рассмотрения и оценки представленных котировочных заявок участнику размещения заказа, подавшему котировочную заявку, которая отвечает требованиям, установленным в настоящем извещении, и в которой указана наиболее низкая </w:t>
      </w:r>
      <w:r w:rsidR="00B65744" w:rsidRPr="000E4B2F">
        <w:rPr>
          <w:sz w:val="22"/>
          <w:szCs w:val="22"/>
        </w:rPr>
        <w:t>цена договора</w:t>
      </w:r>
      <w:r w:rsidR="00DA7324" w:rsidRPr="000E4B2F">
        <w:rPr>
          <w:sz w:val="22"/>
          <w:szCs w:val="22"/>
        </w:rPr>
        <w:t xml:space="preserve">, признанному победителем, </w:t>
      </w:r>
      <w:r w:rsidR="002E7209" w:rsidRPr="000E4B2F">
        <w:rPr>
          <w:sz w:val="22"/>
          <w:szCs w:val="22"/>
        </w:rPr>
        <w:t>будет направлен</w:t>
      </w:r>
      <w:r w:rsidR="00A734CC">
        <w:rPr>
          <w:sz w:val="22"/>
          <w:szCs w:val="22"/>
        </w:rPr>
        <w:t xml:space="preserve"> </w:t>
      </w:r>
      <w:r w:rsidR="002E7209" w:rsidRPr="000E4B2F">
        <w:rPr>
          <w:sz w:val="22"/>
          <w:szCs w:val="22"/>
        </w:rPr>
        <w:t xml:space="preserve"> для подписания проект договора.</w:t>
      </w:r>
      <w:proofErr w:type="gramEnd"/>
    </w:p>
    <w:p w:rsidR="006E0C8A" w:rsidRPr="000E4B2F" w:rsidRDefault="00DA7324" w:rsidP="00DA7324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Срок подписания</w:t>
      </w:r>
      <w:r w:rsidR="006E0C8A" w:rsidRPr="000E4B2F">
        <w:rPr>
          <w:b/>
          <w:sz w:val="22"/>
          <w:szCs w:val="22"/>
        </w:rPr>
        <w:t xml:space="preserve"> догов</w:t>
      </w:r>
      <w:r w:rsidR="00B00432" w:rsidRPr="000E4B2F">
        <w:rPr>
          <w:b/>
          <w:sz w:val="22"/>
          <w:szCs w:val="22"/>
        </w:rPr>
        <w:t>о</w:t>
      </w:r>
      <w:r w:rsidR="006E0C8A" w:rsidRPr="000E4B2F">
        <w:rPr>
          <w:b/>
          <w:sz w:val="22"/>
          <w:szCs w:val="22"/>
        </w:rPr>
        <w:t>ра</w:t>
      </w:r>
      <w:r w:rsidRPr="000E4B2F">
        <w:rPr>
          <w:b/>
          <w:sz w:val="22"/>
          <w:szCs w:val="22"/>
        </w:rPr>
        <w:t>:</w:t>
      </w:r>
      <w:r w:rsidRPr="000E4B2F">
        <w:rPr>
          <w:sz w:val="22"/>
          <w:szCs w:val="22"/>
        </w:rPr>
        <w:t xml:space="preserve"> </w:t>
      </w:r>
    </w:p>
    <w:p w:rsidR="00A734CC" w:rsidRPr="00251B6A" w:rsidRDefault="009E378F" w:rsidP="00A734CC">
      <w:pPr>
        <w:jc w:val="both"/>
        <w:rPr>
          <w:sz w:val="22"/>
          <w:szCs w:val="22"/>
        </w:rPr>
      </w:pPr>
      <w:r w:rsidRPr="000E4B2F">
        <w:rPr>
          <w:sz w:val="22"/>
          <w:szCs w:val="22"/>
        </w:rPr>
        <w:t>П</w:t>
      </w:r>
      <w:r w:rsidR="00DA7324" w:rsidRPr="000E4B2F">
        <w:rPr>
          <w:sz w:val="22"/>
          <w:szCs w:val="22"/>
        </w:rPr>
        <w:t>обедител</w:t>
      </w:r>
      <w:r w:rsidR="00E86A65" w:rsidRPr="000E4B2F">
        <w:rPr>
          <w:sz w:val="22"/>
          <w:szCs w:val="22"/>
        </w:rPr>
        <w:t>ь</w:t>
      </w:r>
      <w:r w:rsidR="00DA7324" w:rsidRPr="000E4B2F">
        <w:rPr>
          <w:sz w:val="22"/>
          <w:szCs w:val="22"/>
        </w:rPr>
        <w:t xml:space="preserve"> </w:t>
      </w:r>
      <w:r w:rsidR="00E86A65" w:rsidRPr="000E4B2F">
        <w:rPr>
          <w:sz w:val="22"/>
          <w:szCs w:val="22"/>
        </w:rPr>
        <w:t>запроса котировок должен подписать</w:t>
      </w:r>
      <w:r w:rsidR="00DA7324" w:rsidRPr="000E4B2F">
        <w:rPr>
          <w:sz w:val="22"/>
          <w:szCs w:val="22"/>
        </w:rPr>
        <w:t xml:space="preserve"> </w:t>
      </w:r>
      <w:r w:rsidR="00E86A65" w:rsidRPr="000E4B2F">
        <w:rPr>
          <w:sz w:val="22"/>
          <w:szCs w:val="22"/>
        </w:rPr>
        <w:t xml:space="preserve">договор </w:t>
      </w:r>
      <w:r w:rsidR="00421DF8" w:rsidRPr="000E4B2F">
        <w:rPr>
          <w:sz w:val="22"/>
          <w:szCs w:val="22"/>
        </w:rPr>
        <w:t xml:space="preserve">не позднее 20 (двадцати) календарных дней </w:t>
      </w:r>
      <w:proofErr w:type="gramStart"/>
      <w:r w:rsidR="00A734CC" w:rsidRPr="00251B6A">
        <w:rPr>
          <w:sz w:val="22"/>
          <w:szCs w:val="22"/>
        </w:rPr>
        <w:t>с</w:t>
      </w:r>
      <w:r w:rsidR="00A734CC">
        <w:rPr>
          <w:sz w:val="22"/>
          <w:szCs w:val="22"/>
        </w:rPr>
        <w:t xml:space="preserve"> даты  подведения</w:t>
      </w:r>
      <w:proofErr w:type="gramEnd"/>
      <w:r w:rsidR="00A734CC">
        <w:rPr>
          <w:sz w:val="22"/>
          <w:szCs w:val="22"/>
        </w:rPr>
        <w:t xml:space="preserve"> итогов запроса котировок.</w:t>
      </w:r>
      <w:r w:rsidR="00A734CC" w:rsidRPr="00251B6A">
        <w:rPr>
          <w:sz w:val="22"/>
          <w:szCs w:val="22"/>
        </w:rPr>
        <w:t xml:space="preserve"> Если в указанный срок победитель не представит Заказчику подписанный договор, победитель будет признан уклонившимся от заключения договора.</w:t>
      </w:r>
    </w:p>
    <w:p w:rsidR="000E433E" w:rsidRPr="000E4B2F" w:rsidRDefault="00DA7324" w:rsidP="000E433E">
      <w:pPr>
        <w:jc w:val="both"/>
        <w:rPr>
          <w:b/>
          <w:sz w:val="22"/>
          <w:szCs w:val="22"/>
          <w:u w:val="single"/>
        </w:rPr>
      </w:pPr>
      <w:r w:rsidRPr="000E4B2F">
        <w:rPr>
          <w:b/>
          <w:sz w:val="22"/>
          <w:szCs w:val="22"/>
          <w:u w:val="single"/>
        </w:rPr>
        <w:t xml:space="preserve"> </w:t>
      </w:r>
    </w:p>
    <w:p w:rsidR="00AF7B0C" w:rsidRPr="000E4B2F" w:rsidRDefault="00DA7324" w:rsidP="000E433E">
      <w:pPr>
        <w:jc w:val="both"/>
        <w:rPr>
          <w:color w:val="000000"/>
          <w:sz w:val="22"/>
          <w:szCs w:val="22"/>
        </w:rPr>
      </w:pPr>
      <w:r w:rsidRPr="000E4B2F">
        <w:rPr>
          <w:b/>
          <w:sz w:val="22"/>
          <w:szCs w:val="22"/>
        </w:rPr>
        <w:t>Форма котировочной заявки</w:t>
      </w:r>
      <w:r w:rsidRPr="000E4B2F">
        <w:rPr>
          <w:sz w:val="22"/>
          <w:szCs w:val="22"/>
        </w:rPr>
        <w:t>: прилагается к настоящему извещению о проведении запроса котировок</w:t>
      </w:r>
      <w:r w:rsidR="00D9672D" w:rsidRPr="000E4B2F">
        <w:rPr>
          <w:sz w:val="22"/>
          <w:szCs w:val="22"/>
        </w:rPr>
        <w:t>.</w:t>
      </w:r>
    </w:p>
    <w:p w:rsidR="006E0C8A" w:rsidRPr="000E4B2F" w:rsidRDefault="006E0C8A" w:rsidP="006E0C8A">
      <w:pPr>
        <w:jc w:val="both"/>
        <w:rPr>
          <w:sz w:val="22"/>
          <w:szCs w:val="22"/>
        </w:rPr>
      </w:pPr>
    </w:p>
    <w:p w:rsidR="006E0C8A" w:rsidRPr="000E4B2F" w:rsidRDefault="006E0C8A" w:rsidP="006E0C8A">
      <w:pPr>
        <w:jc w:val="both"/>
        <w:rPr>
          <w:color w:val="000000"/>
          <w:sz w:val="22"/>
          <w:szCs w:val="22"/>
        </w:rPr>
      </w:pPr>
      <w:r w:rsidRPr="000E4B2F">
        <w:rPr>
          <w:b/>
          <w:sz w:val="22"/>
          <w:szCs w:val="22"/>
        </w:rPr>
        <w:t>Проект договора</w:t>
      </w:r>
      <w:r w:rsidRPr="000E4B2F">
        <w:rPr>
          <w:sz w:val="22"/>
          <w:szCs w:val="22"/>
        </w:rPr>
        <w:t>: прилагается к настоящему извещению о проведении запроса котировок</w:t>
      </w:r>
      <w:r w:rsidR="00D9672D" w:rsidRPr="000E4B2F">
        <w:rPr>
          <w:sz w:val="22"/>
          <w:szCs w:val="22"/>
        </w:rPr>
        <w:t>.</w:t>
      </w:r>
    </w:p>
    <w:p w:rsidR="001F29F0" w:rsidRDefault="001F7D6E" w:rsidP="001F29F0">
      <w:pPr>
        <w:ind w:left="-540"/>
        <w:jc w:val="both"/>
        <w:rPr>
          <w:sz w:val="22"/>
          <w:szCs w:val="22"/>
        </w:rPr>
      </w:pPr>
      <w:r w:rsidRPr="000E4B2F">
        <w:rPr>
          <w:sz w:val="22"/>
          <w:szCs w:val="22"/>
        </w:rPr>
        <w:tab/>
      </w:r>
    </w:p>
    <w:p w:rsidR="001F29F0" w:rsidRDefault="001F29F0" w:rsidP="001F29F0">
      <w:pPr>
        <w:ind w:left="-540"/>
        <w:jc w:val="both"/>
        <w:rPr>
          <w:sz w:val="22"/>
          <w:szCs w:val="22"/>
        </w:rPr>
      </w:pPr>
    </w:p>
    <w:p w:rsidR="001F29F0" w:rsidRDefault="001F29F0" w:rsidP="001F29F0">
      <w:pPr>
        <w:ind w:left="-540"/>
        <w:jc w:val="both"/>
        <w:rPr>
          <w:sz w:val="22"/>
          <w:szCs w:val="22"/>
        </w:rPr>
      </w:pPr>
    </w:p>
    <w:p w:rsidR="00D205B5" w:rsidRPr="001F29F0" w:rsidRDefault="001F29F0" w:rsidP="001F29F0">
      <w:pPr>
        <w:ind w:left="-540"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Главный врач</w:t>
      </w:r>
      <w:r w:rsidR="00D205B5" w:rsidRPr="000E4B2F">
        <w:rPr>
          <w:b/>
          <w:sz w:val="22"/>
          <w:szCs w:val="22"/>
        </w:rPr>
        <w:tab/>
      </w:r>
      <w:r w:rsidR="00D205B5" w:rsidRPr="000E4B2F">
        <w:rPr>
          <w:b/>
          <w:sz w:val="22"/>
          <w:szCs w:val="22"/>
        </w:rPr>
        <w:tab/>
      </w:r>
      <w:r w:rsidR="00D205B5" w:rsidRPr="000E4B2F">
        <w:rPr>
          <w:b/>
          <w:sz w:val="22"/>
          <w:szCs w:val="22"/>
        </w:rPr>
        <w:tab/>
      </w:r>
      <w:r w:rsidR="00D205B5" w:rsidRPr="000E4B2F">
        <w:rPr>
          <w:b/>
          <w:sz w:val="22"/>
          <w:szCs w:val="22"/>
        </w:rPr>
        <w:tab/>
        <w:t xml:space="preserve">                    </w:t>
      </w:r>
      <w:r w:rsidR="00852FA0" w:rsidRPr="000E4B2F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                                    </w:t>
      </w:r>
      <w:r w:rsidR="0091284A">
        <w:rPr>
          <w:b/>
          <w:sz w:val="22"/>
          <w:szCs w:val="22"/>
        </w:rPr>
        <w:t>Е.М. Пятаков</w:t>
      </w:r>
    </w:p>
    <w:p w:rsidR="000D04D6" w:rsidRPr="000E4B2F" w:rsidRDefault="000D04D6" w:rsidP="00EE6D40">
      <w:pPr>
        <w:jc w:val="both"/>
        <w:rPr>
          <w:rFonts w:ascii="Arial" w:hAnsi="Arial" w:cs="Arial"/>
          <w:b/>
          <w:sz w:val="22"/>
          <w:szCs w:val="22"/>
        </w:rPr>
      </w:pPr>
    </w:p>
    <w:p w:rsidR="000D04D6" w:rsidRPr="000E4B2F" w:rsidRDefault="000D04D6" w:rsidP="00EE6D40">
      <w:pPr>
        <w:jc w:val="both"/>
        <w:rPr>
          <w:rFonts w:ascii="Arial" w:hAnsi="Arial" w:cs="Arial"/>
          <w:b/>
          <w:sz w:val="22"/>
          <w:szCs w:val="22"/>
        </w:rPr>
      </w:pPr>
    </w:p>
    <w:sectPr w:rsidR="000D04D6" w:rsidRPr="000E4B2F" w:rsidSect="00F642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4C2" w:rsidRDefault="005B34C2" w:rsidP="00621312">
      <w:r>
        <w:separator/>
      </w:r>
    </w:p>
  </w:endnote>
  <w:endnote w:type="continuationSeparator" w:id="0">
    <w:p w:rsidR="005B34C2" w:rsidRDefault="005B34C2" w:rsidP="00621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4C2" w:rsidRDefault="005B34C2" w:rsidP="00621312">
      <w:r>
        <w:separator/>
      </w:r>
    </w:p>
  </w:footnote>
  <w:footnote w:type="continuationSeparator" w:id="0">
    <w:p w:rsidR="005B34C2" w:rsidRDefault="005B34C2" w:rsidP="00621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B92"/>
    <w:multiLevelType w:val="hybridMultilevel"/>
    <w:tmpl w:val="228004E2"/>
    <w:lvl w:ilvl="0" w:tplc="47307A3E">
      <w:start w:val="1"/>
      <w:numFmt w:val="bullet"/>
      <w:lvlText w:val="–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09801582"/>
    <w:multiLevelType w:val="hybridMultilevel"/>
    <w:tmpl w:val="80860AEA"/>
    <w:lvl w:ilvl="0" w:tplc="47307A3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C6D1D"/>
    <w:multiLevelType w:val="hybridMultilevel"/>
    <w:tmpl w:val="77100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6385F"/>
    <w:multiLevelType w:val="hybridMultilevel"/>
    <w:tmpl w:val="ABAEDC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6C6A81"/>
    <w:multiLevelType w:val="hybridMultilevel"/>
    <w:tmpl w:val="6AE2E9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cs="Times New Roman"/>
      </w:r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1B251F1C"/>
    <w:multiLevelType w:val="hybridMultilevel"/>
    <w:tmpl w:val="43F478A4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149E7"/>
    <w:multiLevelType w:val="hybridMultilevel"/>
    <w:tmpl w:val="C2C494CA"/>
    <w:lvl w:ilvl="0" w:tplc="0EE02626">
      <w:start w:val="1"/>
      <w:numFmt w:val="decimal"/>
      <w:lvlText w:val="%1)"/>
      <w:lvlJc w:val="left"/>
      <w:pPr>
        <w:ind w:left="3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8">
    <w:nsid w:val="1E3B06EA"/>
    <w:multiLevelType w:val="hybridMultilevel"/>
    <w:tmpl w:val="EB8E3554"/>
    <w:lvl w:ilvl="0" w:tplc="AF2CDFF8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792207"/>
    <w:multiLevelType w:val="multilevel"/>
    <w:tmpl w:val="13760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289E7B2A"/>
    <w:multiLevelType w:val="hybridMultilevel"/>
    <w:tmpl w:val="962C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253FF"/>
    <w:multiLevelType w:val="hybridMultilevel"/>
    <w:tmpl w:val="27BE1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ED7436"/>
    <w:multiLevelType w:val="hybridMultilevel"/>
    <w:tmpl w:val="0C58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C1148"/>
    <w:multiLevelType w:val="hybridMultilevel"/>
    <w:tmpl w:val="6BA2C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577F0B"/>
    <w:multiLevelType w:val="hybridMultilevel"/>
    <w:tmpl w:val="40EE6022"/>
    <w:lvl w:ilvl="0" w:tplc="8CBC86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056B3"/>
    <w:multiLevelType w:val="hybridMultilevel"/>
    <w:tmpl w:val="AB8EF72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26507"/>
    <w:multiLevelType w:val="hybridMultilevel"/>
    <w:tmpl w:val="20F6CB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D5F55D6"/>
    <w:multiLevelType w:val="hybridMultilevel"/>
    <w:tmpl w:val="C8341B46"/>
    <w:lvl w:ilvl="0" w:tplc="5F8636B2">
      <w:start w:val="1"/>
      <w:numFmt w:val="decimal"/>
      <w:lvlText w:val="%1)"/>
      <w:lvlJc w:val="left"/>
      <w:pPr>
        <w:tabs>
          <w:tab w:val="num" w:pos="630"/>
        </w:tabs>
        <w:ind w:left="6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5DCD4073"/>
    <w:multiLevelType w:val="hybridMultilevel"/>
    <w:tmpl w:val="FA1E13B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42C58"/>
    <w:multiLevelType w:val="hybridMultilevel"/>
    <w:tmpl w:val="F02C7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557B5E"/>
    <w:multiLevelType w:val="multilevel"/>
    <w:tmpl w:val="4B16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7B7EC0"/>
    <w:multiLevelType w:val="hybridMultilevel"/>
    <w:tmpl w:val="A43E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D7A1D"/>
    <w:multiLevelType w:val="hybridMultilevel"/>
    <w:tmpl w:val="2B641000"/>
    <w:lvl w:ilvl="0" w:tplc="9312B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F199F"/>
    <w:multiLevelType w:val="hybridMultilevel"/>
    <w:tmpl w:val="E59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3835A7"/>
    <w:multiLevelType w:val="hybridMultilevel"/>
    <w:tmpl w:val="1114A104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D186388"/>
    <w:multiLevelType w:val="hybridMultilevel"/>
    <w:tmpl w:val="6F660A14"/>
    <w:lvl w:ilvl="0" w:tplc="E5C2F57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4"/>
  </w:num>
  <w:num w:numId="11">
    <w:abstractNumId w:val="2"/>
  </w:num>
  <w:num w:numId="12">
    <w:abstractNumId w:val="17"/>
  </w:num>
  <w:num w:numId="13">
    <w:abstractNumId w:val="26"/>
  </w:num>
  <w:num w:numId="14">
    <w:abstractNumId w:val="18"/>
  </w:num>
  <w:num w:numId="15">
    <w:abstractNumId w:val="7"/>
  </w:num>
  <w:num w:numId="16">
    <w:abstractNumId w:val="6"/>
  </w:num>
  <w:num w:numId="17">
    <w:abstractNumId w:val="16"/>
  </w:num>
  <w:num w:numId="18">
    <w:abstractNumId w:val="0"/>
  </w:num>
  <w:num w:numId="19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15"/>
  </w:num>
  <w:num w:numId="25">
    <w:abstractNumId w:val="22"/>
  </w:num>
  <w:num w:numId="26">
    <w:abstractNumId w:val="19"/>
  </w:num>
  <w:num w:numId="27">
    <w:abstractNumId w:val="3"/>
  </w:num>
  <w:num w:numId="28">
    <w:abstractNumId w:val="21"/>
  </w:num>
  <w:num w:numId="29">
    <w:abstractNumId w:val="13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D44"/>
    <w:rsid w:val="0000069B"/>
    <w:rsid w:val="00016976"/>
    <w:rsid w:val="00020036"/>
    <w:rsid w:val="00024CB5"/>
    <w:rsid w:val="0002692D"/>
    <w:rsid w:val="00034AEE"/>
    <w:rsid w:val="00034D0B"/>
    <w:rsid w:val="000560F8"/>
    <w:rsid w:val="000664B5"/>
    <w:rsid w:val="00072B94"/>
    <w:rsid w:val="00073E7F"/>
    <w:rsid w:val="00075B0C"/>
    <w:rsid w:val="000A101F"/>
    <w:rsid w:val="000A23EA"/>
    <w:rsid w:val="000A513F"/>
    <w:rsid w:val="000A5958"/>
    <w:rsid w:val="000A78FE"/>
    <w:rsid w:val="000B14DD"/>
    <w:rsid w:val="000C05FD"/>
    <w:rsid w:val="000C5DD3"/>
    <w:rsid w:val="000D04D6"/>
    <w:rsid w:val="000D314D"/>
    <w:rsid w:val="000D4216"/>
    <w:rsid w:val="000E355A"/>
    <w:rsid w:val="000E3C17"/>
    <w:rsid w:val="000E433E"/>
    <w:rsid w:val="000E4B2F"/>
    <w:rsid w:val="000E511C"/>
    <w:rsid w:val="000F29C4"/>
    <w:rsid w:val="000F2A0B"/>
    <w:rsid w:val="000F33CE"/>
    <w:rsid w:val="00101CFA"/>
    <w:rsid w:val="00103693"/>
    <w:rsid w:val="001052FF"/>
    <w:rsid w:val="00107B5D"/>
    <w:rsid w:val="00111E48"/>
    <w:rsid w:val="00113996"/>
    <w:rsid w:val="00116B7C"/>
    <w:rsid w:val="00125280"/>
    <w:rsid w:val="001344A5"/>
    <w:rsid w:val="0013604D"/>
    <w:rsid w:val="001371A6"/>
    <w:rsid w:val="00143883"/>
    <w:rsid w:val="001474B8"/>
    <w:rsid w:val="00150FA6"/>
    <w:rsid w:val="0017049B"/>
    <w:rsid w:val="0017306E"/>
    <w:rsid w:val="00180E68"/>
    <w:rsid w:val="00182595"/>
    <w:rsid w:val="00185F50"/>
    <w:rsid w:val="00187ADC"/>
    <w:rsid w:val="00193CFA"/>
    <w:rsid w:val="00196E24"/>
    <w:rsid w:val="001A7F18"/>
    <w:rsid w:val="001B2FD9"/>
    <w:rsid w:val="001B3FF2"/>
    <w:rsid w:val="001B7960"/>
    <w:rsid w:val="001C3863"/>
    <w:rsid w:val="001D2E6A"/>
    <w:rsid w:val="001E2A76"/>
    <w:rsid w:val="001F29F0"/>
    <w:rsid w:val="001F5231"/>
    <w:rsid w:val="001F7D6E"/>
    <w:rsid w:val="0020073C"/>
    <w:rsid w:val="00200A33"/>
    <w:rsid w:val="00200FD8"/>
    <w:rsid w:val="00204120"/>
    <w:rsid w:val="0020706D"/>
    <w:rsid w:val="00221C41"/>
    <w:rsid w:val="00222540"/>
    <w:rsid w:val="0022577F"/>
    <w:rsid w:val="00232BA9"/>
    <w:rsid w:val="0025065B"/>
    <w:rsid w:val="0025189E"/>
    <w:rsid w:val="00255B39"/>
    <w:rsid w:val="00256F2E"/>
    <w:rsid w:val="00262D3D"/>
    <w:rsid w:val="00263A1E"/>
    <w:rsid w:val="0027397B"/>
    <w:rsid w:val="00276264"/>
    <w:rsid w:val="00280F6E"/>
    <w:rsid w:val="00281CCF"/>
    <w:rsid w:val="00284422"/>
    <w:rsid w:val="00284FF0"/>
    <w:rsid w:val="00291810"/>
    <w:rsid w:val="002926A4"/>
    <w:rsid w:val="00293D64"/>
    <w:rsid w:val="002A0989"/>
    <w:rsid w:val="002A2986"/>
    <w:rsid w:val="002B39E8"/>
    <w:rsid w:val="002B60B9"/>
    <w:rsid w:val="002D6D89"/>
    <w:rsid w:val="002D7C61"/>
    <w:rsid w:val="002E0D6F"/>
    <w:rsid w:val="002E2F89"/>
    <w:rsid w:val="002E59F2"/>
    <w:rsid w:val="002E7209"/>
    <w:rsid w:val="002F3D99"/>
    <w:rsid w:val="002F5AB9"/>
    <w:rsid w:val="002F7655"/>
    <w:rsid w:val="00326264"/>
    <w:rsid w:val="00334CA8"/>
    <w:rsid w:val="0034106A"/>
    <w:rsid w:val="00341BDF"/>
    <w:rsid w:val="00347AE3"/>
    <w:rsid w:val="00354E9B"/>
    <w:rsid w:val="00360BA6"/>
    <w:rsid w:val="003807C1"/>
    <w:rsid w:val="00380DC3"/>
    <w:rsid w:val="00383E3B"/>
    <w:rsid w:val="00392A08"/>
    <w:rsid w:val="003A1014"/>
    <w:rsid w:val="003A3E5F"/>
    <w:rsid w:val="003A5565"/>
    <w:rsid w:val="003A5DFD"/>
    <w:rsid w:val="003A71C3"/>
    <w:rsid w:val="003B1834"/>
    <w:rsid w:val="003B2444"/>
    <w:rsid w:val="003C5AFA"/>
    <w:rsid w:val="003D24C9"/>
    <w:rsid w:val="003D3854"/>
    <w:rsid w:val="003D4EDC"/>
    <w:rsid w:val="003E0756"/>
    <w:rsid w:val="003F0BB3"/>
    <w:rsid w:val="003F52AF"/>
    <w:rsid w:val="004023D9"/>
    <w:rsid w:val="004040E1"/>
    <w:rsid w:val="00411FBB"/>
    <w:rsid w:val="00421DF8"/>
    <w:rsid w:val="00430294"/>
    <w:rsid w:val="00434648"/>
    <w:rsid w:val="00450A20"/>
    <w:rsid w:val="00455B94"/>
    <w:rsid w:val="00461F65"/>
    <w:rsid w:val="004627FC"/>
    <w:rsid w:val="00464653"/>
    <w:rsid w:val="00467403"/>
    <w:rsid w:val="004713A9"/>
    <w:rsid w:val="00471D3A"/>
    <w:rsid w:val="00471F3F"/>
    <w:rsid w:val="00473CD2"/>
    <w:rsid w:val="00491C6F"/>
    <w:rsid w:val="004A53F6"/>
    <w:rsid w:val="004C0320"/>
    <w:rsid w:val="004C09FD"/>
    <w:rsid w:val="004C3303"/>
    <w:rsid w:val="004C53CF"/>
    <w:rsid w:val="004D56FA"/>
    <w:rsid w:val="004E7170"/>
    <w:rsid w:val="004F3351"/>
    <w:rsid w:val="0050001C"/>
    <w:rsid w:val="00511542"/>
    <w:rsid w:val="005118CC"/>
    <w:rsid w:val="0053194D"/>
    <w:rsid w:val="00531B2F"/>
    <w:rsid w:val="00557E35"/>
    <w:rsid w:val="0056135C"/>
    <w:rsid w:val="00573946"/>
    <w:rsid w:val="0059072E"/>
    <w:rsid w:val="00595525"/>
    <w:rsid w:val="005A05B9"/>
    <w:rsid w:val="005B34C2"/>
    <w:rsid w:val="005C0697"/>
    <w:rsid w:val="0061324E"/>
    <w:rsid w:val="00621312"/>
    <w:rsid w:val="00622870"/>
    <w:rsid w:val="00631F24"/>
    <w:rsid w:val="0064388D"/>
    <w:rsid w:val="006444C2"/>
    <w:rsid w:val="00645D3D"/>
    <w:rsid w:val="00655F8E"/>
    <w:rsid w:val="006564DA"/>
    <w:rsid w:val="0066339F"/>
    <w:rsid w:val="0066559F"/>
    <w:rsid w:val="00675E48"/>
    <w:rsid w:val="00681BFA"/>
    <w:rsid w:val="0068599C"/>
    <w:rsid w:val="006B32EA"/>
    <w:rsid w:val="006B60DE"/>
    <w:rsid w:val="006E0C8A"/>
    <w:rsid w:val="006E243E"/>
    <w:rsid w:val="006E4263"/>
    <w:rsid w:val="006E7ECE"/>
    <w:rsid w:val="006F6204"/>
    <w:rsid w:val="0070380F"/>
    <w:rsid w:val="00703A72"/>
    <w:rsid w:val="00705D7E"/>
    <w:rsid w:val="0070714A"/>
    <w:rsid w:val="00722F76"/>
    <w:rsid w:val="00731829"/>
    <w:rsid w:val="00733075"/>
    <w:rsid w:val="00750239"/>
    <w:rsid w:val="00752B47"/>
    <w:rsid w:val="00755071"/>
    <w:rsid w:val="00756DF4"/>
    <w:rsid w:val="007648CB"/>
    <w:rsid w:val="007676AA"/>
    <w:rsid w:val="00775CED"/>
    <w:rsid w:val="007804B6"/>
    <w:rsid w:val="0078484C"/>
    <w:rsid w:val="0079105E"/>
    <w:rsid w:val="007952DD"/>
    <w:rsid w:val="007C0B9A"/>
    <w:rsid w:val="007C301C"/>
    <w:rsid w:val="007C7A76"/>
    <w:rsid w:val="007C7F3B"/>
    <w:rsid w:val="007D23AF"/>
    <w:rsid w:val="007D5575"/>
    <w:rsid w:val="007E69AB"/>
    <w:rsid w:val="007F3219"/>
    <w:rsid w:val="007F634E"/>
    <w:rsid w:val="008176C0"/>
    <w:rsid w:val="00825332"/>
    <w:rsid w:val="0082699C"/>
    <w:rsid w:val="00827F19"/>
    <w:rsid w:val="00827F31"/>
    <w:rsid w:val="00835D12"/>
    <w:rsid w:val="0084372D"/>
    <w:rsid w:val="00846AE9"/>
    <w:rsid w:val="00850D0B"/>
    <w:rsid w:val="00852FA0"/>
    <w:rsid w:val="008564AF"/>
    <w:rsid w:val="00861655"/>
    <w:rsid w:val="008635EF"/>
    <w:rsid w:val="0086536E"/>
    <w:rsid w:val="00867419"/>
    <w:rsid w:val="0087078E"/>
    <w:rsid w:val="00870A95"/>
    <w:rsid w:val="008742DB"/>
    <w:rsid w:val="00876CF3"/>
    <w:rsid w:val="008776C2"/>
    <w:rsid w:val="00880370"/>
    <w:rsid w:val="00894D1E"/>
    <w:rsid w:val="008A1E50"/>
    <w:rsid w:val="008A54F0"/>
    <w:rsid w:val="008B3D93"/>
    <w:rsid w:val="008B5840"/>
    <w:rsid w:val="008B5C94"/>
    <w:rsid w:val="008E021D"/>
    <w:rsid w:val="008E550E"/>
    <w:rsid w:val="008F3DCD"/>
    <w:rsid w:val="009031AF"/>
    <w:rsid w:val="00905EAC"/>
    <w:rsid w:val="009077E4"/>
    <w:rsid w:val="00907A5B"/>
    <w:rsid w:val="0091227A"/>
    <w:rsid w:val="0091284A"/>
    <w:rsid w:val="009272BD"/>
    <w:rsid w:val="00937642"/>
    <w:rsid w:val="00940210"/>
    <w:rsid w:val="00950BFA"/>
    <w:rsid w:val="00951B08"/>
    <w:rsid w:val="009566B1"/>
    <w:rsid w:val="009675C1"/>
    <w:rsid w:val="009A2B63"/>
    <w:rsid w:val="009A379F"/>
    <w:rsid w:val="009A3F7D"/>
    <w:rsid w:val="009B4FC2"/>
    <w:rsid w:val="009E378F"/>
    <w:rsid w:val="009E4B07"/>
    <w:rsid w:val="009F2281"/>
    <w:rsid w:val="00A02739"/>
    <w:rsid w:val="00A03368"/>
    <w:rsid w:val="00A37263"/>
    <w:rsid w:val="00A37F98"/>
    <w:rsid w:val="00A502A0"/>
    <w:rsid w:val="00A50EAE"/>
    <w:rsid w:val="00A530CF"/>
    <w:rsid w:val="00A5418B"/>
    <w:rsid w:val="00A546F2"/>
    <w:rsid w:val="00A56810"/>
    <w:rsid w:val="00A568A9"/>
    <w:rsid w:val="00A63A2F"/>
    <w:rsid w:val="00A670CA"/>
    <w:rsid w:val="00A734CC"/>
    <w:rsid w:val="00A8418E"/>
    <w:rsid w:val="00A94687"/>
    <w:rsid w:val="00AA3E75"/>
    <w:rsid w:val="00AB5ABE"/>
    <w:rsid w:val="00AC35E7"/>
    <w:rsid w:val="00AC40EE"/>
    <w:rsid w:val="00AD3473"/>
    <w:rsid w:val="00AF7B0C"/>
    <w:rsid w:val="00B00432"/>
    <w:rsid w:val="00B22B94"/>
    <w:rsid w:val="00B316F3"/>
    <w:rsid w:val="00B414CD"/>
    <w:rsid w:val="00B41FC8"/>
    <w:rsid w:val="00B43D06"/>
    <w:rsid w:val="00B47396"/>
    <w:rsid w:val="00B543B4"/>
    <w:rsid w:val="00B54BBD"/>
    <w:rsid w:val="00B65744"/>
    <w:rsid w:val="00B67D37"/>
    <w:rsid w:val="00B775A2"/>
    <w:rsid w:val="00B83651"/>
    <w:rsid w:val="00B86F7F"/>
    <w:rsid w:val="00BA1A2B"/>
    <w:rsid w:val="00BA51E2"/>
    <w:rsid w:val="00BB7E5C"/>
    <w:rsid w:val="00BB7F00"/>
    <w:rsid w:val="00BE296A"/>
    <w:rsid w:val="00BE6030"/>
    <w:rsid w:val="00BF3905"/>
    <w:rsid w:val="00C00478"/>
    <w:rsid w:val="00C119B1"/>
    <w:rsid w:val="00C23FA2"/>
    <w:rsid w:val="00C304A1"/>
    <w:rsid w:val="00C36301"/>
    <w:rsid w:val="00C371F7"/>
    <w:rsid w:val="00C55153"/>
    <w:rsid w:val="00C5652D"/>
    <w:rsid w:val="00C64D69"/>
    <w:rsid w:val="00C71054"/>
    <w:rsid w:val="00C71535"/>
    <w:rsid w:val="00C72DC7"/>
    <w:rsid w:val="00C91086"/>
    <w:rsid w:val="00C92F6F"/>
    <w:rsid w:val="00C95B5E"/>
    <w:rsid w:val="00C95DA9"/>
    <w:rsid w:val="00C97C99"/>
    <w:rsid w:val="00CA63E8"/>
    <w:rsid w:val="00CA7DD8"/>
    <w:rsid w:val="00CB1BFD"/>
    <w:rsid w:val="00CC22C2"/>
    <w:rsid w:val="00CC693E"/>
    <w:rsid w:val="00CF7FE2"/>
    <w:rsid w:val="00D03925"/>
    <w:rsid w:val="00D17AA9"/>
    <w:rsid w:val="00D205B5"/>
    <w:rsid w:val="00D33CFB"/>
    <w:rsid w:val="00D42F8F"/>
    <w:rsid w:val="00D523F3"/>
    <w:rsid w:val="00D6634C"/>
    <w:rsid w:val="00D6770C"/>
    <w:rsid w:val="00D735CF"/>
    <w:rsid w:val="00D75B97"/>
    <w:rsid w:val="00D83757"/>
    <w:rsid w:val="00D92205"/>
    <w:rsid w:val="00D9672D"/>
    <w:rsid w:val="00DA3FB9"/>
    <w:rsid w:val="00DA481D"/>
    <w:rsid w:val="00DA7324"/>
    <w:rsid w:val="00DB435D"/>
    <w:rsid w:val="00DB4883"/>
    <w:rsid w:val="00DB525E"/>
    <w:rsid w:val="00DB6837"/>
    <w:rsid w:val="00DC7F8A"/>
    <w:rsid w:val="00DE7C17"/>
    <w:rsid w:val="00E104B4"/>
    <w:rsid w:val="00E22DA0"/>
    <w:rsid w:val="00E34A08"/>
    <w:rsid w:val="00E44E24"/>
    <w:rsid w:val="00E77822"/>
    <w:rsid w:val="00E806A7"/>
    <w:rsid w:val="00E86A65"/>
    <w:rsid w:val="00E95489"/>
    <w:rsid w:val="00EC44E4"/>
    <w:rsid w:val="00EC6D44"/>
    <w:rsid w:val="00EC7A68"/>
    <w:rsid w:val="00ED07DD"/>
    <w:rsid w:val="00ED37B4"/>
    <w:rsid w:val="00EE28FD"/>
    <w:rsid w:val="00EE5569"/>
    <w:rsid w:val="00EE6D40"/>
    <w:rsid w:val="00F00377"/>
    <w:rsid w:val="00F12D37"/>
    <w:rsid w:val="00F13360"/>
    <w:rsid w:val="00F37F69"/>
    <w:rsid w:val="00F642FC"/>
    <w:rsid w:val="00F647FF"/>
    <w:rsid w:val="00F73141"/>
    <w:rsid w:val="00F7419F"/>
    <w:rsid w:val="00F82B70"/>
    <w:rsid w:val="00F92978"/>
    <w:rsid w:val="00FA2069"/>
    <w:rsid w:val="00FA2D49"/>
    <w:rsid w:val="00FA3779"/>
    <w:rsid w:val="00FB0DC4"/>
    <w:rsid w:val="00FB18B0"/>
    <w:rsid w:val="00FB37C1"/>
    <w:rsid w:val="00FC604D"/>
    <w:rsid w:val="00FD5CFF"/>
    <w:rsid w:val="00FD7912"/>
    <w:rsid w:val="00FD7DD2"/>
    <w:rsid w:val="00FE1707"/>
    <w:rsid w:val="00FE7989"/>
    <w:rsid w:val="00FF1F42"/>
    <w:rsid w:val="00FF328C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6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6A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00A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6D4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6D44"/>
    <w:pPr>
      <w:jc w:val="center"/>
    </w:pPr>
    <w:rPr>
      <w:szCs w:val="20"/>
    </w:rPr>
  </w:style>
  <w:style w:type="paragraph" w:customStyle="1" w:styleId="ConsNormal">
    <w:name w:val="ConsNormal"/>
    <w:link w:val="ConsNormal0"/>
    <w:qFormat/>
    <w:rsid w:val="00EC6D44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EC6D44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EC6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te Heading"/>
    <w:basedOn w:val="a"/>
    <w:next w:val="a"/>
    <w:rsid w:val="00EC6D44"/>
    <w:pPr>
      <w:spacing w:after="60"/>
      <w:jc w:val="both"/>
    </w:pPr>
  </w:style>
  <w:style w:type="paragraph" w:styleId="20">
    <w:name w:val="Body Text 2"/>
    <w:basedOn w:val="a"/>
    <w:rsid w:val="00EC6D44"/>
    <w:pPr>
      <w:spacing w:after="120" w:line="480" w:lineRule="auto"/>
    </w:pPr>
  </w:style>
  <w:style w:type="character" w:styleId="a6">
    <w:name w:val="Hyperlink"/>
    <w:rsid w:val="0061324E"/>
    <w:rPr>
      <w:color w:val="0000FF"/>
      <w:u w:val="single"/>
    </w:rPr>
  </w:style>
  <w:style w:type="paragraph" w:customStyle="1" w:styleId="a7">
    <w:name w:val="Знак Знак Знак Знак"/>
    <w:basedOn w:val="a"/>
    <w:next w:val="2"/>
    <w:autoRedefine/>
    <w:rsid w:val="00200A33"/>
    <w:pPr>
      <w:spacing w:after="160" w:line="240" w:lineRule="exact"/>
    </w:pPr>
    <w:rPr>
      <w:szCs w:val="20"/>
      <w:lang w:val="en-US" w:eastAsia="en-US"/>
    </w:rPr>
  </w:style>
  <w:style w:type="character" w:customStyle="1" w:styleId="a8">
    <w:name w:val="Дата Знак"/>
    <w:link w:val="a9"/>
    <w:semiHidden/>
    <w:locked/>
    <w:rsid w:val="009675C1"/>
    <w:rPr>
      <w:sz w:val="24"/>
      <w:lang w:val="ru-RU" w:eastAsia="ru-RU" w:bidi="ar-SA"/>
    </w:rPr>
  </w:style>
  <w:style w:type="paragraph" w:styleId="a9">
    <w:name w:val="Date"/>
    <w:basedOn w:val="a"/>
    <w:next w:val="a"/>
    <w:link w:val="a8"/>
    <w:rsid w:val="009675C1"/>
    <w:pPr>
      <w:spacing w:after="60"/>
      <w:jc w:val="both"/>
    </w:pPr>
    <w:rPr>
      <w:szCs w:val="20"/>
    </w:rPr>
  </w:style>
  <w:style w:type="character" w:customStyle="1" w:styleId="31">
    <w:name w:val="Основной текст 3 Знак"/>
    <w:link w:val="32"/>
    <w:semiHidden/>
    <w:locked/>
    <w:rsid w:val="009675C1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9675C1"/>
    <w:pPr>
      <w:spacing w:after="120"/>
    </w:pPr>
    <w:rPr>
      <w:sz w:val="16"/>
      <w:szCs w:val="16"/>
    </w:rPr>
  </w:style>
  <w:style w:type="character" w:customStyle="1" w:styleId="aa">
    <w:name w:val="Основной шрифт"/>
    <w:semiHidden/>
    <w:rsid w:val="009675C1"/>
  </w:style>
  <w:style w:type="paragraph" w:customStyle="1" w:styleId="11">
    <w:name w:val="Знак Знак Знак Знак1"/>
    <w:basedOn w:val="a"/>
    <w:rsid w:val="00775C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rsid w:val="00280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Web),Знак Знак1"/>
    <w:basedOn w:val="a"/>
    <w:link w:val="ad"/>
    <w:rsid w:val="00C23FA2"/>
    <w:pPr>
      <w:spacing w:after="150"/>
    </w:pPr>
    <w:rPr>
      <w:sz w:val="18"/>
      <w:szCs w:val="18"/>
    </w:rPr>
  </w:style>
  <w:style w:type="character" w:customStyle="1" w:styleId="30">
    <w:name w:val="Заголовок 3 Знак"/>
    <w:link w:val="3"/>
    <w:rsid w:val="0068599C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8599C"/>
    <w:rPr>
      <w:sz w:val="24"/>
    </w:rPr>
  </w:style>
  <w:style w:type="paragraph" w:styleId="ae">
    <w:name w:val="Balloon Text"/>
    <w:basedOn w:val="a"/>
    <w:link w:val="af"/>
    <w:rsid w:val="0082699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82699C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6564DA"/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"/>
    <w:rsid w:val="00656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Normal0">
    <w:name w:val="ConsNormal Знак"/>
    <w:link w:val="ConsNormal"/>
    <w:locked/>
    <w:rsid w:val="00DA7324"/>
    <w:rPr>
      <w:rFonts w:ascii="Arial" w:hAnsi="Arial"/>
      <w:lang w:val="ru-RU" w:eastAsia="ru-RU" w:bidi="ar-SA"/>
    </w:rPr>
  </w:style>
  <w:style w:type="paragraph" w:customStyle="1" w:styleId="Standard">
    <w:name w:val="Standard"/>
    <w:rsid w:val="00DA7324"/>
    <w:pPr>
      <w:suppressAutoHyphens/>
      <w:autoSpaceDN w:val="0"/>
    </w:pPr>
    <w:rPr>
      <w:rFonts w:eastAsia="Calibri"/>
      <w:kern w:val="3"/>
      <w:sz w:val="24"/>
      <w:szCs w:val="24"/>
    </w:rPr>
  </w:style>
  <w:style w:type="character" w:customStyle="1" w:styleId="mail-message-sender-email">
    <w:name w:val="mail-message-sender-email"/>
    <w:rsid w:val="000F29C4"/>
  </w:style>
  <w:style w:type="paragraph" w:styleId="af0">
    <w:name w:val="footnote text"/>
    <w:basedOn w:val="a"/>
    <w:link w:val="af1"/>
    <w:unhideWhenUsed/>
    <w:rsid w:val="00621312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621312"/>
  </w:style>
  <w:style w:type="paragraph" w:styleId="af2">
    <w:name w:val="Plain Text"/>
    <w:basedOn w:val="a"/>
    <w:link w:val="af3"/>
    <w:uiPriority w:val="99"/>
    <w:unhideWhenUsed/>
    <w:rsid w:val="00621312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3">
    <w:name w:val="Текст Знак"/>
    <w:link w:val="af2"/>
    <w:uiPriority w:val="99"/>
    <w:rsid w:val="00621312"/>
    <w:rPr>
      <w:rFonts w:eastAsia="MS Mincho"/>
      <w:spacing w:val="-2"/>
      <w:sz w:val="26"/>
    </w:rPr>
  </w:style>
  <w:style w:type="paragraph" w:styleId="af4">
    <w:name w:val="List Paragraph"/>
    <w:basedOn w:val="a"/>
    <w:uiPriority w:val="34"/>
    <w:qFormat/>
    <w:rsid w:val="00621312"/>
    <w:pPr>
      <w:ind w:left="708"/>
    </w:pPr>
  </w:style>
  <w:style w:type="character" w:styleId="af5">
    <w:name w:val="footnote reference"/>
    <w:unhideWhenUsed/>
    <w:rsid w:val="00621312"/>
    <w:rPr>
      <w:vertAlign w:val="superscript"/>
    </w:rPr>
  </w:style>
  <w:style w:type="character" w:customStyle="1" w:styleId="ad">
    <w:name w:val="Обычный (веб) Знак"/>
    <w:aliases w:val="Обычный (Web) Знак,Знак Знак1 Знак"/>
    <w:link w:val="ac"/>
    <w:locked/>
    <w:rsid w:val="003D4EDC"/>
    <w:rPr>
      <w:sz w:val="18"/>
      <w:szCs w:val="18"/>
    </w:rPr>
  </w:style>
  <w:style w:type="character" w:customStyle="1" w:styleId="10">
    <w:name w:val="Заголовок 1 Знак"/>
    <w:link w:val="1"/>
    <w:rsid w:val="00846A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6">
    <w:name w:val="Strong"/>
    <w:uiPriority w:val="22"/>
    <w:qFormat/>
    <w:rsid w:val="002B39E8"/>
    <w:rPr>
      <w:b/>
      <w:bCs/>
    </w:rPr>
  </w:style>
  <w:style w:type="character" w:customStyle="1" w:styleId="x-phmenubutton">
    <w:name w:val="x-ph__menu__button"/>
    <w:basedOn w:val="a0"/>
    <w:rsid w:val="00455B94"/>
  </w:style>
  <w:style w:type="character" w:customStyle="1" w:styleId="FontStyle14">
    <w:name w:val="Font Style14"/>
    <w:basedOn w:val="a0"/>
    <w:uiPriority w:val="99"/>
    <w:rsid w:val="00FE1707"/>
    <w:rPr>
      <w:rFonts w:ascii="Tahoma" w:hAnsi="Tahoma" w:cs="Tahoma"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FE1707"/>
    <w:pPr>
      <w:widowControl w:val="0"/>
      <w:autoSpaceDE w:val="0"/>
      <w:autoSpaceDN w:val="0"/>
      <w:adjustRightInd w:val="0"/>
      <w:spacing w:line="259" w:lineRule="exact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22DA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5ABC-D574-406B-888B-552F8AB3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8655</Words>
  <Characters>49340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q</Company>
  <LinksUpToDate>false</LinksUpToDate>
  <CharactersWithSpaces>57880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Пользователь Windows</cp:lastModifiedBy>
  <cp:revision>8</cp:revision>
  <cp:lastPrinted>2019-02-22T04:45:00Z</cp:lastPrinted>
  <dcterms:created xsi:type="dcterms:W3CDTF">2020-01-23T17:02:00Z</dcterms:created>
  <dcterms:modified xsi:type="dcterms:W3CDTF">2020-02-04T12:58:00Z</dcterms:modified>
</cp:coreProperties>
</file>