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21" w:rsidRPr="00F5354F" w:rsidRDefault="00D41F21" w:rsidP="000C26AB">
      <w:pPr>
        <w:spacing w:after="0"/>
        <w:contextualSpacing/>
        <w:jc w:val="center"/>
        <w:rPr>
          <w:rFonts w:ascii="Times New Roman" w:hAnsi="Times New Roman"/>
          <w:b/>
          <w:sz w:val="24"/>
          <w:szCs w:val="24"/>
        </w:rPr>
      </w:pPr>
      <w:r w:rsidRPr="00F5354F">
        <w:rPr>
          <w:rFonts w:ascii="Times New Roman" w:hAnsi="Times New Roman"/>
          <w:b/>
          <w:sz w:val="24"/>
          <w:szCs w:val="24"/>
        </w:rPr>
        <w:t xml:space="preserve">Техническое задание на поставку </w:t>
      </w:r>
      <w:r w:rsidR="000C26AB" w:rsidRPr="00F5354F">
        <w:rPr>
          <w:rFonts w:ascii="Times New Roman" w:hAnsi="Times New Roman"/>
          <w:b/>
          <w:sz w:val="24"/>
          <w:szCs w:val="24"/>
        </w:rPr>
        <w:t>медицинских изделий для анализатора «</w:t>
      </w:r>
      <w:r w:rsidR="000C26AB" w:rsidRPr="00F5354F">
        <w:rPr>
          <w:rFonts w:ascii="Times New Roman" w:hAnsi="Times New Roman"/>
          <w:b/>
          <w:sz w:val="24"/>
          <w:szCs w:val="24"/>
          <w:lang w:val="en-US"/>
        </w:rPr>
        <w:t>ARCHITECT</w:t>
      </w:r>
      <w:r w:rsidR="000C26AB" w:rsidRPr="00F5354F">
        <w:rPr>
          <w:rFonts w:ascii="Times New Roman" w:hAnsi="Times New Roman"/>
          <w:b/>
          <w:sz w:val="24"/>
          <w:szCs w:val="24"/>
        </w:rPr>
        <w:t xml:space="preserve"> </w:t>
      </w:r>
      <w:proofErr w:type="spellStart"/>
      <w:r w:rsidR="000C26AB" w:rsidRPr="00F5354F">
        <w:rPr>
          <w:rFonts w:ascii="Times New Roman" w:hAnsi="Times New Roman"/>
          <w:b/>
          <w:sz w:val="24"/>
          <w:szCs w:val="24"/>
          <w:lang w:val="en-US"/>
        </w:rPr>
        <w:t>i</w:t>
      </w:r>
      <w:proofErr w:type="spellEnd"/>
      <w:r w:rsidR="000C26AB" w:rsidRPr="00F5354F">
        <w:rPr>
          <w:rFonts w:ascii="Times New Roman" w:hAnsi="Times New Roman"/>
          <w:b/>
          <w:sz w:val="24"/>
          <w:szCs w:val="24"/>
        </w:rPr>
        <w:t>1000</w:t>
      </w:r>
      <w:r w:rsidR="000C26AB" w:rsidRPr="00F5354F">
        <w:rPr>
          <w:rFonts w:ascii="Times New Roman" w:hAnsi="Times New Roman"/>
          <w:b/>
          <w:sz w:val="24"/>
          <w:szCs w:val="24"/>
          <w:lang w:val="en-US"/>
        </w:rPr>
        <w:t>SR</w:t>
      </w:r>
      <w:r w:rsidR="000C26AB" w:rsidRPr="00F5354F">
        <w:rPr>
          <w:rFonts w:ascii="Times New Roman" w:hAnsi="Times New Roman"/>
          <w:b/>
          <w:sz w:val="24"/>
          <w:szCs w:val="24"/>
        </w:rPr>
        <w:t>”</w:t>
      </w:r>
    </w:p>
    <w:p w:rsidR="00D41F21" w:rsidRPr="00F5354F" w:rsidRDefault="00D41F21" w:rsidP="000C26AB">
      <w:pPr>
        <w:spacing w:after="0"/>
        <w:ind w:right="-142"/>
        <w:contextualSpacing/>
        <w:jc w:val="both"/>
        <w:outlineLvl w:val="4"/>
        <w:rPr>
          <w:rFonts w:ascii="Times New Roman" w:hAnsi="Times New Roman"/>
          <w:bCs/>
          <w:snapToGrid w:val="0"/>
          <w:sz w:val="24"/>
          <w:szCs w:val="24"/>
        </w:rPr>
      </w:pPr>
      <w:r w:rsidRPr="00F5354F">
        <w:rPr>
          <w:rFonts w:ascii="Times New Roman" w:hAnsi="Times New Roman"/>
          <w:b/>
          <w:snapToGrid w:val="0"/>
          <w:sz w:val="24"/>
          <w:szCs w:val="24"/>
        </w:rPr>
        <w:t xml:space="preserve">Срок </w:t>
      </w:r>
      <w:r w:rsidR="0012523C" w:rsidRPr="00F5354F">
        <w:rPr>
          <w:rFonts w:ascii="Times New Roman" w:hAnsi="Times New Roman"/>
          <w:b/>
          <w:snapToGrid w:val="0"/>
          <w:sz w:val="24"/>
          <w:szCs w:val="24"/>
        </w:rPr>
        <w:t>действия договора</w:t>
      </w:r>
      <w:r w:rsidRPr="00F5354F">
        <w:rPr>
          <w:rFonts w:ascii="Times New Roman" w:hAnsi="Times New Roman"/>
          <w:snapToGrid w:val="0"/>
          <w:sz w:val="24"/>
          <w:szCs w:val="24"/>
        </w:rPr>
        <w:t xml:space="preserve">: с </w:t>
      </w:r>
      <w:r w:rsidR="000C26AB" w:rsidRPr="00F5354F">
        <w:rPr>
          <w:rFonts w:ascii="Times New Roman" w:hAnsi="Times New Roman"/>
          <w:snapToGrid w:val="0"/>
          <w:sz w:val="24"/>
          <w:szCs w:val="24"/>
        </w:rPr>
        <w:t>01</w:t>
      </w:r>
      <w:r w:rsidR="009E6454" w:rsidRPr="00F5354F">
        <w:rPr>
          <w:rFonts w:ascii="Times New Roman" w:hAnsi="Times New Roman"/>
          <w:snapToGrid w:val="0"/>
          <w:sz w:val="24"/>
          <w:szCs w:val="24"/>
        </w:rPr>
        <w:t>.0</w:t>
      </w:r>
      <w:r w:rsidR="000C26AB" w:rsidRPr="00F5354F">
        <w:rPr>
          <w:rFonts w:ascii="Times New Roman" w:hAnsi="Times New Roman"/>
          <w:snapToGrid w:val="0"/>
          <w:sz w:val="24"/>
          <w:szCs w:val="24"/>
        </w:rPr>
        <w:t>2</w:t>
      </w:r>
      <w:r w:rsidR="009E6454" w:rsidRPr="00F5354F">
        <w:rPr>
          <w:rFonts w:ascii="Times New Roman" w:hAnsi="Times New Roman"/>
          <w:snapToGrid w:val="0"/>
          <w:sz w:val="24"/>
          <w:szCs w:val="24"/>
        </w:rPr>
        <w:t>.2024 г.</w:t>
      </w:r>
      <w:r w:rsidRPr="00F5354F">
        <w:rPr>
          <w:rFonts w:ascii="Times New Roman" w:hAnsi="Times New Roman"/>
          <w:snapToGrid w:val="0"/>
          <w:sz w:val="24"/>
          <w:szCs w:val="24"/>
        </w:rPr>
        <w:t xml:space="preserve"> </w:t>
      </w:r>
      <w:r w:rsidR="000C26AB" w:rsidRPr="00F5354F">
        <w:rPr>
          <w:rFonts w:ascii="Times New Roman" w:hAnsi="Times New Roman"/>
          <w:snapToGrid w:val="0"/>
          <w:sz w:val="24"/>
          <w:szCs w:val="24"/>
        </w:rPr>
        <w:t>до 31.07</w:t>
      </w:r>
      <w:r w:rsidR="0012523C" w:rsidRPr="00F5354F">
        <w:rPr>
          <w:rFonts w:ascii="Times New Roman" w:hAnsi="Times New Roman"/>
          <w:snapToGrid w:val="0"/>
          <w:sz w:val="24"/>
          <w:szCs w:val="24"/>
        </w:rPr>
        <w:t>.2024</w:t>
      </w:r>
      <w:r w:rsidR="009E6454" w:rsidRPr="00F5354F">
        <w:rPr>
          <w:rFonts w:ascii="Times New Roman" w:hAnsi="Times New Roman"/>
          <w:snapToGrid w:val="0"/>
          <w:sz w:val="24"/>
          <w:szCs w:val="24"/>
        </w:rPr>
        <w:t xml:space="preserve"> </w:t>
      </w:r>
      <w:r w:rsidR="0012523C" w:rsidRPr="00F5354F">
        <w:rPr>
          <w:rFonts w:ascii="Times New Roman" w:hAnsi="Times New Roman"/>
          <w:snapToGrid w:val="0"/>
          <w:sz w:val="24"/>
          <w:szCs w:val="24"/>
        </w:rPr>
        <w:t>г.</w:t>
      </w:r>
    </w:p>
    <w:p w:rsidR="009E6454" w:rsidRPr="00F5354F" w:rsidRDefault="00D41F21" w:rsidP="000C26AB">
      <w:pPr>
        <w:pStyle w:val="a3"/>
        <w:spacing w:line="276" w:lineRule="auto"/>
        <w:contextualSpacing/>
      </w:pPr>
      <w:r w:rsidRPr="00F5354F">
        <w:rPr>
          <w:b/>
        </w:rPr>
        <w:t>Место поставки Товара</w:t>
      </w:r>
      <w:r w:rsidRPr="00F5354F">
        <w:t xml:space="preserve"> осуществляется по адресу: 656038, Россия, Алтайский край, г. Барнаул, ул. Молодежная, </w:t>
      </w:r>
      <w:proofErr w:type="gramStart"/>
      <w:r w:rsidRPr="00F5354F">
        <w:t>20  в</w:t>
      </w:r>
      <w:proofErr w:type="gramEnd"/>
      <w:r w:rsidRPr="00F5354F">
        <w:t xml:space="preserve"> рабочие дни в период с 08:00 до 16:00 по местному времени.</w:t>
      </w:r>
    </w:p>
    <w:p w:rsidR="000C26AB" w:rsidRPr="00F5354F" w:rsidRDefault="009E6454" w:rsidP="000C26AB">
      <w:pPr>
        <w:spacing w:after="0"/>
        <w:contextualSpacing/>
        <w:jc w:val="both"/>
        <w:rPr>
          <w:rFonts w:ascii="Times New Roman" w:hAnsi="Times New Roman"/>
          <w:sz w:val="24"/>
          <w:szCs w:val="24"/>
        </w:rPr>
      </w:pPr>
      <w:r w:rsidRPr="00F5354F">
        <w:rPr>
          <w:rFonts w:ascii="Times New Roman" w:hAnsi="Times New Roman"/>
          <w:b/>
          <w:sz w:val="24"/>
          <w:szCs w:val="24"/>
        </w:rPr>
        <w:t>Оплата товара:</w:t>
      </w:r>
      <w:r w:rsidRPr="00F5354F">
        <w:rPr>
          <w:rFonts w:ascii="Times New Roman" w:hAnsi="Times New Roman"/>
          <w:sz w:val="24"/>
          <w:szCs w:val="24"/>
        </w:rPr>
        <w:t xml:space="preserve"> </w:t>
      </w:r>
      <w:r w:rsidR="000C26AB" w:rsidRPr="00F5354F">
        <w:rPr>
          <w:rFonts w:ascii="Times New Roman" w:hAnsi="Times New Roman"/>
          <w:sz w:val="24"/>
          <w:szCs w:val="24"/>
        </w:rPr>
        <w:t>в течение 45 (Сорока пяти) дней после принятия</w:t>
      </w:r>
      <w:r w:rsidR="000C26AB" w:rsidRPr="00F5354F">
        <w:rPr>
          <w:rFonts w:ascii="Times New Roman" w:hAnsi="Times New Roman"/>
          <w:i/>
          <w:sz w:val="24"/>
          <w:szCs w:val="24"/>
        </w:rPr>
        <w:t xml:space="preserve"> </w:t>
      </w:r>
      <w:r w:rsidR="000C26AB" w:rsidRPr="00F5354F">
        <w:rPr>
          <w:rFonts w:ascii="Times New Roman" w:hAnsi="Times New Roman"/>
          <w:sz w:val="24"/>
          <w:szCs w:val="24"/>
        </w:rPr>
        <w:t>каждой конкретной партии Товара путем перечисления денежных средств на расчетный счет Поставщика указанный в разделе 17 и подписания Сторонами товарной накладной формы (ТОРГ-12)/Универсального передаточного документа (УПД).</w:t>
      </w:r>
    </w:p>
    <w:p w:rsidR="000C26AB" w:rsidRPr="00F5354F" w:rsidRDefault="009E6454" w:rsidP="00F5354F">
      <w:pPr>
        <w:pStyle w:val="Standard"/>
        <w:spacing w:line="276" w:lineRule="auto"/>
        <w:contextualSpacing/>
        <w:jc w:val="both"/>
      </w:pPr>
      <w:bookmarkStart w:id="0" w:name="_GoBack"/>
      <w:bookmarkEnd w:id="0"/>
      <w:r w:rsidRPr="00F5354F">
        <w:rPr>
          <w:b/>
        </w:rPr>
        <w:t>Срок поставки товара</w:t>
      </w:r>
      <w:r w:rsidRPr="00F5354F">
        <w:rPr>
          <w:i/>
        </w:rPr>
        <w:t xml:space="preserve">: </w:t>
      </w:r>
      <w:r w:rsidR="000C26AB" w:rsidRPr="00F5354F">
        <w:t xml:space="preserve">Срок исполнения каждой заявки не должен составлять более </w:t>
      </w:r>
      <w:r w:rsidR="000C26AB" w:rsidRPr="00F5354F">
        <w:t>5 (Пяти)</w:t>
      </w:r>
      <w:r w:rsidR="000C26AB" w:rsidRPr="00F5354F">
        <w:t xml:space="preserve"> календарных дней с момента получения Поставщиком заявки Покупателя.  Поставщик вправе произвести досрочную поставку партии Товара, указанного в заявке Покупателя. Заявки направляются в электронной форме посредством автоматизированной системы заказов «Электронный ордер». </w:t>
      </w:r>
    </w:p>
    <w:p w:rsidR="00BE677B" w:rsidRPr="00F5354F" w:rsidRDefault="00BE677B" w:rsidP="007110CE">
      <w:pPr>
        <w:pStyle w:val="a3"/>
        <w:contextualSpacing/>
      </w:pPr>
    </w:p>
    <w:tbl>
      <w:tblPr>
        <w:tblpPr w:leftFromText="180" w:rightFromText="180" w:vertAnchor="text" w:tblpXSpec="center" w:tblpY="1"/>
        <w:tblOverlap w:val="never"/>
        <w:tblW w:w="52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5"/>
        <w:gridCol w:w="3205"/>
        <w:gridCol w:w="3272"/>
        <w:gridCol w:w="1629"/>
        <w:gridCol w:w="1074"/>
      </w:tblGrid>
      <w:tr w:rsidR="00F5354F"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w:t>
            </w:r>
          </w:p>
          <w:p w:rsidR="00BE677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п/п</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BE677B" w:rsidRPr="00F5354F" w:rsidRDefault="000C26AB" w:rsidP="007110CE">
            <w:pPr>
              <w:widowControl w:val="0"/>
              <w:autoSpaceDE w:val="0"/>
              <w:autoSpaceDN w:val="0"/>
              <w:adjustRightInd w:val="0"/>
              <w:spacing w:after="0" w:line="240" w:lineRule="auto"/>
              <w:ind w:left="113"/>
              <w:contextualSpacing/>
              <w:jc w:val="center"/>
              <w:rPr>
                <w:rFonts w:ascii="Times New Roman" w:hAnsi="Times New Roman"/>
                <w:bCs/>
                <w:sz w:val="24"/>
                <w:szCs w:val="24"/>
              </w:rPr>
            </w:pPr>
            <w:r w:rsidRPr="00F5354F">
              <w:rPr>
                <w:rFonts w:ascii="Times New Roman" w:hAnsi="Times New Roman"/>
                <w:bCs/>
                <w:sz w:val="24"/>
                <w:szCs w:val="24"/>
              </w:rPr>
              <w:t>Наименование</w:t>
            </w:r>
          </w:p>
        </w:tc>
        <w:tc>
          <w:tcPr>
            <w:tcW w:w="1655" w:type="pct"/>
          </w:tcPr>
          <w:p w:rsidR="00BE677B" w:rsidRPr="00F5354F" w:rsidRDefault="000C26AB" w:rsidP="007110CE">
            <w:pPr>
              <w:pStyle w:val="a9"/>
              <w:widowControl w:val="0"/>
              <w:autoSpaceDE w:val="0"/>
              <w:autoSpaceDN w:val="0"/>
              <w:adjustRightInd w:val="0"/>
              <w:spacing w:before="0" w:beforeAutospacing="0" w:after="0" w:afterAutospacing="0"/>
              <w:ind w:left="113"/>
              <w:contextualSpacing/>
              <w:jc w:val="center"/>
              <w:rPr>
                <w:bCs/>
              </w:rPr>
            </w:pPr>
            <w:r w:rsidRPr="00F5354F">
              <w:rPr>
                <w:bCs/>
              </w:rPr>
              <w:t>Описание</w:t>
            </w:r>
          </w:p>
        </w:tc>
        <w:tc>
          <w:tcPr>
            <w:tcW w:w="824" w:type="pct"/>
          </w:tcPr>
          <w:p w:rsidR="00BE677B" w:rsidRPr="00F5354F" w:rsidRDefault="000C26AB" w:rsidP="007110CE">
            <w:pPr>
              <w:pStyle w:val="a7"/>
              <w:widowControl w:val="0"/>
              <w:autoSpaceDE w:val="0"/>
              <w:autoSpaceDN w:val="0"/>
              <w:adjustRightInd w:val="0"/>
              <w:ind w:left="113"/>
              <w:contextualSpacing/>
              <w:jc w:val="center"/>
              <w:rPr>
                <w:bCs/>
              </w:rPr>
            </w:pPr>
            <w:proofErr w:type="spellStart"/>
            <w:r w:rsidRPr="00F5354F">
              <w:rPr>
                <w:bCs/>
              </w:rPr>
              <w:t>Ед.изм</w:t>
            </w:r>
            <w:proofErr w:type="spellEnd"/>
            <w:r w:rsidRPr="00F5354F">
              <w:rPr>
                <w:bCs/>
              </w:rPr>
              <w:t>.</w:t>
            </w:r>
          </w:p>
        </w:tc>
        <w:tc>
          <w:tcPr>
            <w:tcW w:w="543" w:type="pct"/>
          </w:tcPr>
          <w:p w:rsidR="00BE677B" w:rsidRPr="00F5354F" w:rsidRDefault="000C26AB" w:rsidP="007110CE">
            <w:pPr>
              <w:pStyle w:val="a7"/>
              <w:widowControl w:val="0"/>
              <w:autoSpaceDE w:val="0"/>
              <w:autoSpaceDN w:val="0"/>
              <w:adjustRightInd w:val="0"/>
              <w:ind w:left="113"/>
              <w:contextualSpacing/>
              <w:jc w:val="center"/>
              <w:rPr>
                <w:bCs/>
              </w:rPr>
            </w:pPr>
            <w:r w:rsidRPr="00F5354F">
              <w:rPr>
                <w:bCs/>
              </w:rPr>
              <w:t>Кол-во</w:t>
            </w:r>
          </w:p>
        </w:tc>
      </w:tr>
      <w:tr w:rsidR="00F5354F"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bCs/>
                <w:sz w:val="24"/>
                <w:szCs w:val="24"/>
              </w:rPr>
            </w:pPr>
            <w:r w:rsidRPr="00F5354F">
              <w:rPr>
                <w:rFonts w:ascii="Times New Roman" w:hAnsi="Times New Roman"/>
                <w:sz w:val="24"/>
                <w:szCs w:val="24"/>
                <w:lang w:eastAsia="ru-RU"/>
              </w:rPr>
              <w:t>Набор реагентов для определения тиреотропного гормона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Флаконы подходят к ротору без дополнительного перелива. Наличие штрих-кода на этикетке для распознавания растворов. Метод: </w:t>
            </w:r>
            <w:proofErr w:type="spellStart"/>
            <w:r w:rsidRPr="00F5354F">
              <w:rPr>
                <w:rFonts w:ascii="Times New Roman" w:hAnsi="Times New Roman"/>
                <w:sz w:val="24"/>
                <w:szCs w:val="24"/>
                <w:lang w:eastAsia="ru-RU"/>
              </w:rPr>
              <w:t>хемилюминисцентный</w:t>
            </w:r>
            <w:proofErr w:type="spellEnd"/>
            <w:r w:rsidRPr="00F5354F">
              <w:rPr>
                <w:rFonts w:ascii="Times New Roman" w:hAnsi="Times New Roman"/>
                <w:sz w:val="24"/>
                <w:szCs w:val="24"/>
                <w:lang w:eastAsia="ru-RU"/>
              </w:rPr>
              <w:t xml:space="preserve"> </w:t>
            </w:r>
            <w:proofErr w:type="spellStart"/>
            <w:r w:rsidRPr="00F5354F">
              <w:rPr>
                <w:rFonts w:ascii="Times New Roman" w:hAnsi="Times New Roman"/>
                <w:sz w:val="24"/>
                <w:szCs w:val="24"/>
                <w:lang w:eastAsia="ru-RU"/>
              </w:rPr>
              <w:t>иммуноанализ</w:t>
            </w:r>
            <w:proofErr w:type="spellEnd"/>
            <w:r w:rsidRPr="00F5354F">
              <w:rPr>
                <w:rFonts w:ascii="Times New Roman" w:hAnsi="Times New Roman"/>
                <w:sz w:val="24"/>
                <w:szCs w:val="24"/>
                <w:lang w:eastAsia="ru-RU"/>
              </w:rPr>
              <w:t xml:space="preserve"> на микрочастицах. Назначение: для количественного определения тиреотропного гормона (ТТГ) в сыворотке, плазме крови человека. Расчетное количество определений, не менее 100.</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2</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Калибратор для определения тиреотропного гормона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Назначение: для калибровки системы ARCHITECT при количественном определении тиреотропного гормона (ТТГ) в сыворотке, плазме крови человека.</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3</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Набор реагентов для определения свободного тироксина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Флаконы должны подходить к ротору без дополнительного перелива. Наличие штрих-кода на этикетке для распознавания растворов. Метод: </w:t>
            </w:r>
            <w:proofErr w:type="spellStart"/>
            <w:r w:rsidRPr="00F5354F">
              <w:rPr>
                <w:rFonts w:ascii="Times New Roman" w:hAnsi="Times New Roman"/>
                <w:sz w:val="24"/>
                <w:szCs w:val="24"/>
                <w:lang w:eastAsia="ru-RU"/>
              </w:rPr>
              <w:t>хемилюминисцентный</w:t>
            </w:r>
            <w:proofErr w:type="spellEnd"/>
            <w:r w:rsidRPr="00F5354F">
              <w:rPr>
                <w:rFonts w:ascii="Times New Roman" w:hAnsi="Times New Roman"/>
                <w:sz w:val="24"/>
                <w:szCs w:val="24"/>
                <w:lang w:eastAsia="ru-RU"/>
              </w:rPr>
              <w:t xml:space="preserve"> </w:t>
            </w:r>
            <w:proofErr w:type="spellStart"/>
            <w:r w:rsidRPr="00F5354F">
              <w:rPr>
                <w:rFonts w:ascii="Times New Roman" w:hAnsi="Times New Roman"/>
                <w:sz w:val="24"/>
                <w:szCs w:val="24"/>
                <w:lang w:eastAsia="ru-RU"/>
              </w:rPr>
              <w:t>иммуноанализ</w:t>
            </w:r>
            <w:proofErr w:type="spellEnd"/>
            <w:r w:rsidRPr="00F5354F">
              <w:rPr>
                <w:rFonts w:ascii="Times New Roman" w:hAnsi="Times New Roman"/>
                <w:sz w:val="24"/>
                <w:szCs w:val="24"/>
                <w:lang w:eastAsia="ru-RU"/>
              </w:rPr>
              <w:t xml:space="preserve"> на микрочастицах. Назначение: для количественного </w:t>
            </w:r>
            <w:r w:rsidRPr="00F5354F">
              <w:rPr>
                <w:rFonts w:ascii="Times New Roman" w:hAnsi="Times New Roman"/>
                <w:sz w:val="24"/>
                <w:szCs w:val="24"/>
                <w:lang w:eastAsia="ru-RU"/>
              </w:rPr>
              <w:lastRenderedPageBreak/>
              <w:t>определения свободного тироксина в сыворотке, плазме крови человека. Количество определений, не менее 100 тестов.</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lastRenderedPageBreak/>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4</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Калибратор для определения свободного тироксина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Назначение: для калибровки системы ARCHITECT при количественном определении свободного тироксина  в сыворотке, плазме крови человека.</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5</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Набор реагентов для определения тестостерона 2го поколения</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Описание флакона: флаконы подходят к прибору без дополнительного перелива; вся информация для правильной работы считывается с штрих-кода на этикетке флакона. Метод: хемилюминесцентный </w:t>
            </w:r>
            <w:proofErr w:type="spellStart"/>
            <w:r w:rsidRPr="00F5354F">
              <w:rPr>
                <w:rFonts w:ascii="Times New Roman" w:hAnsi="Times New Roman"/>
                <w:sz w:val="24"/>
                <w:szCs w:val="24"/>
                <w:lang w:eastAsia="ru-RU"/>
              </w:rPr>
              <w:t>иммуноанализ</w:t>
            </w:r>
            <w:proofErr w:type="spellEnd"/>
            <w:r w:rsidRPr="00F5354F">
              <w:rPr>
                <w:rFonts w:ascii="Times New Roman" w:hAnsi="Times New Roman"/>
                <w:sz w:val="24"/>
                <w:szCs w:val="24"/>
                <w:lang w:eastAsia="ru-RU"/>
              </w:rPr>
              <w:t xml:space="preserve"> на микрочастицах. Образец для анализа: сыворотка, плазма крови. Расчётное количество тестов, не менее 100.</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6</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Набор для калибровки системы при определении тестостерона 2го поколения</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Назначение: для калибровки системы ARCHITECT при количественном определении тестостерона  в сыворотке, плазме крови человека.</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7</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Набор реагентов для определения  витамина В12</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Описание флакона: флаконы подходят к прибору без дополнительного перелива; вся информация для правильной работы считывается с штрих-кода на этикетке флакона. Метод: хемилюминесцентный </w:t>
            </w:r>
            <w:proofErr w:type="spellStart"/>
            <w:r w:rsidRPr="00F5354F">
              <w:rPr>
                <w:rFonts w:ascii="Times New Roman" w:hAnsi="Times New Roman"/>
                <w:sz w:val="24"/>
                <w:szCs w:val="24"/>
                <w:lang w:eastAsia="ru-RU"/>
              </w:rPr>
              <w:t>иммуноанализ</w:t>
            </w:r>
            <w:proofErr w:type="spellEnd"/>
            <w:r w:rsidRPr="00F5354F">
              <w:rPr>
                <w:rFonts w:ascii="Times New Roman" w:hAnsi="Times New Roman"/>
                <w:sz w:val="24"/>
                <w:szCs w:val="24"/>
                <w:lang w:eastAsia="ru-RU"/>
              </w:rPr>
              <w:t xml:space="preserve"> на микрочастицах. Образец для анализа: сыворотка, плазма крови. Расчётное количество тестов, не менее 100.</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8</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Набор для калибровки системы при определении витамина В12</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Назначение: для калибровки системы ARCHITECT при количественном определении витамина В12.</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9</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 xml:space="preserve">Набор реагентов для определения </w:t>
            </w:r>
            <w:proofErr w:type="spellStart"/>
            <w:r w:rsidRPr="00F5354F">
              <w:rPr>
                <w:rFonts w:ascii="Times New Roman" w:hAnsi="Times New Roman"/>
                <w:sz w:val="24"/>
                <w:szCs w:val="24"/>
                <w:lang w:eastAsia="ru-RU"/>
              </w:rPr>
              <w:t>интактного</w:t>
            </w:r>
            <w:proofErr w:type="spellEnd"/>
            <w:r w:rsidRPr="00F5354F">
              <w:rPr>
                <w:rFonts w:ascii="Times New Roman" w:hAnsi="Times New Roman"/>
                <w:sz w:val="24"/>
                <w:szCs w:val="24"/>
                <w:lang w:eastAsia="ru-RU"/>
              </w:rPr>
              <w:t xml:space="preserve"> паратиреоидного гормона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Описание флакона: флаконы подходят к прибору без </w:t>
            </w:r>
            <w:r w:rsidRPr="00F5354F">
              <w:rPr>
                <w:rFonts w:ascii="Times New Roman" w:hAnsi="Times New Roman"/>
                <w:sz w:val="24"/>
                <w:szCs w:val="24"/>
                <w:lang w:eastAsia="ru-RU"/>
              </w:rPr>
              <w:lastRenderedPageBreak/>
              <w:t xml:space="preserve">дополнительного перелива; вся информация для правильной работы считывается с штрих-кода на этикетке флакона. Метод: хемилюминесцентный </w:t>
            </w:r>
            <w:proofErr w:type="spellStart"/>
            <w:r w:rsidRPr="00F5354F">
              <w:rPr>
                <w:rFonts w:ascii="Times New Roman" w:hAnsi="Times New Roman"/>
                <w:sz w:val="24"/>
                <w:szCs w:val="24"/>
                <w:lang w:eastAsia="ru-RU"/>
              </w:rPr>
              <w:t>иммуноанализ</w:t>
            </w:r>
            <w:proofErr w:type="spellEnd"/>
            <w:r w:rsidRPr="00F5354F">
              <w:rPr>
                <w:rFonts w:ascii="Times New Roman" w:hAnsi="Times New Roman"/>
                <w:sz w:val="24"/>
                <w:szCs w:val="24"/>
                <w:lang w:eastAsia="ru-RU"/>
              </w:rPr>
              <w:t xml:space="preserve"> на микрочастицах. Образец для анализа: сыворотка, плазма крови. Расчётное количество тестов, не менее 100.</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lastRenderedPageBreak/>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10</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 xml:space="preserve">Набор для калибровки системы при определении </w:t>
            </w:r>
            <w:proofErr w:type="spellStart"/>
            <w:r w:rsidRPr="00F5354F">
              <w:rPr>
                <w:rFonts w:ascii="Times New Roman" w:hAnsi="Times New Roman"/>
                <w:sz w:val="24"/>
                <w:szCs w:val="24"/>
                <w:lang w:eastAsia="ru-RU"/>
              </w:rPr>
              <w:t>интактного</w:t>
            </w:r>
            <w:proofErr w:type="spellEnd"/>
            <w:r w:rsidRPr="00F5354F">
              <w:rPr>
                <w:rFonts w:ascii="Times New Roman" w:hAnsi="Times New Roman"/>
                <w:sz w:val="24"/>
                <w:szCs w:val="24"/>
                <w:lang w:eastAsia="ru-RU"/>
              </w:rPr>
              <w:t xml:space="preserve"> паратиреоидного гормона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Назначение: для калибровки системы ARCHITECT при количественном определении </w:t>
            </w:r>
            <w:proofErr w:type="spellStart"/>
            <w:r w:rsidRPr="00F5354F">
              <w:rPr>
                <w:rFonts w:ascii="Times New Roman" w:hAnsi="Times New Roman"/>
                <w:sz w:val="24"/>
                <w:szCs w:val="24"/>
                <w:lang w:eastAsia="ru-RU"/>
              </w:rPr>
              <w:t>интактного</w:t>
            </w:r>
            <w:proofErr w:type="spellEnd"/>
            <w:r w:rsidRPr="00F5354F">
              <w:rPr>
                <w:rFonts w:ascii="Times New Roman" w:hAnsi="Times New Roman"/>
                <w:sz w:val="24"/>
                <w:szCs w:val="24"/>
                <w:lang w:eastAsia="ru-RU"/>
              </w:rPr>
              <w:t xml:space="preserve"> паратиреоидного гормона в сыворотке, плазме крови человека.</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11</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Набор реагентов для определения бета-хорионического гонадотропина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Флаконы должны подходить к ротору без дополнительного перелива. Наличие штрих-кода на этикетке для распознавания растворов. Метод: </w:t>
            </w:r>
            <w:proofErr w:type="spellStart"/>
            <w:r w:rsidRPr="00F5354F">
              <w:rPr>
                <w:rFonts w:ascii="Times New Roman" w:hAnsi="Times New Roman"/>
                <w:sz w:val="24"/>
                <w:szCs w:val="24"/>
                <w:lang w:eastAsia="ru-RU"/>
              </w:rPr>
              <w:t>хемилюминисцентный</w:t>
            </w:r>
            <w:proofErr w:type="spellEnd"/>
            <w:r w:rsidRPr="00F5354F">
              <w:rPr>
                <w:rFonts w:ascii="Times New Roman" w:hAnsi="Times New Roman"/>
                <w:sz w:val="24"/>
                <w:szCs w:val="24"/>
                <w:lang w:eastAsia="ru-RU"/>
              </w:rPr>
              <w:t xml:space="preserve"> </w:t>
            </w:r>
            <w:proofErr w:type="spellStart"/>
            <w:r w:rsidRPr="00F5354F">
              <w:rPr>
                <w:rFonts w:ascii="Times New Roman" w:hAnsi="Times New Roman"/>
                <w:sz w:val="24"/>
                <w:szCs w:val="24"/>
                <w:lang w:eastAsia="ru-RU"/>
              </w:rPr>
              <w:t>иммуноанализ</w:t>
            </w:r>
            <w:proofErr w:type="spellEnd"/>
            <w:r w:rsidRPr="00F5354F">
              <w:rPr>
                <w:rFonts w:ascii="Times New Roman" w:hAnsi="Times New Roman"/>
                <w:sz w:val="24"/>
                <w:szCs w:val="24"/>
                <w:lang w:eastAsia="ru-RU"/>
              </w:rPr>
              <w:t xml:space="preserve"> на микрочастицах. Назначение: для количественного определения бета-хорионического гонадотропина человека в сыворотке, плазме человека. Расчетное количество определений, не менее 100.</w:t>
            </w:r>
          </w:p>
        </w:tc>
        <w:tc>
          <w:tcPr>
            <w:tcW w:w="824" w:type="pct"/>
          </w:tcPr>
          <w:p w:rsidR="000C26AB" w:rsidRPr="00F5354F" w:rsidRDefault="000C26AB"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0C26AB" w:rsidRPr="00F5354F" w:rsidTr="000C26AB">
        <w:tc>
          <w:tcPr>
            <w:tcW w:w="357" w:type="pct"/>
          </w:tcPr>
          <w:p w:rsidR="000C26AB" w:rsidRPr="00F5354F" w:rsidRDefault="000C26AB"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12</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0C26AB" w:rsidRPr="00F5354F" w:rsidRDefault="000C26AB"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Калибратор для определения бета-хорионического гонадотропина</w:t>
            </w:r>
          </w:p>
        </w:tc>
        <w:tc>
          <w:tcPr>
            <w:tcW w:w="1655" w:type="pct"/>
            <w:vAlign w:val="center"/>
          </w:tcPr>
          <w:p w:rsidR="000C26AB" w:rsidRPr="00F5354F" w:rsidRDefault="000C26AB"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Назначение: для калибровки системы ARCHITECT при количественном определении бета-хорионического гонадотропина в сыворотке, плазме крови человека.</w:t>
            </w:r>
          </w:p>
        </w:tc>
        <w:tc>
          <w:tcPr>
            <w:tcW w:w="824"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0C26AB" w:rsidRPr="00F5354F" w:rsidRDefault="00F5354F" w:rsidP="000C26AB">
            <w:pPr>
              <w:pStyle w:val="a7"/>
              <w:widowControl w:val="0"/>
              <w:autoSpaceDE w:val="0"/>
              <w:autoSpaceDN w:val="0"/>
              <w:adjustRightInd w:val="0"/>
              <w:ind w:left="113"/>
              <w:contextualSpacing/>
              <w:jc w:val="center"/>
              <w:rPr>
                <w:bCs/>
              </w:rPr>
            </w:pPr>
            <w:r w:rsidRPr="00F5354F">
              <w:rPr>
                <w:bCs/>
              </w:rPr>
              <w:t>2</w:t>
            </w:r>
          </w:p>
        </w:tc>
      </w:tr>
      <w:tr w:rsidR="00F5354F" w:rsidRPr="00F5354F" w:rsidTr="000C26AB">
        <w:tc>
          <w:tcPr>
            <w:tcW w:w="357" w:type="pct"/>
          </w:tcPr>
          <w:p w:rsidR="00F5354F" w:rsidRPr="00F5354F" w:rsidRDefault="00F5354F"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13</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F5354F" w:rsidRPr="00F5354F" w:rsidRDefault="00F5354F"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Раствор Триггера</w:t>
            </w:r>
          </w:p>
        </w:tc>
        <w:tc>
          <w:tcPr>
            <w:tcW w:w="1655" w:type="pct"/>
            <w:vAlign w:val="center"/>
          </w:tcPr>
          <w:p w:rsidR="00F5354F" w:rsidRPr="00F5354F" w:rsidRDefault="00F5354F"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Совместимость с анализатором ARCHITECT  i1000SR. Состав набора, не менее 4фл* 975мл.</w:t>
            </w:r>
          </w:p>
        </w:tc>
        <w:tc>
          <w:tcPr>
            <w:tcW w:w="824"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2</w:t>
            </w:r>
          </w:p>
        </w:tc>
      </w:tr>
      <w:tr w:rsidR="00F5354F" w:rsidRPr="00F5354F" w:rsidTr="000C26AB">
        <w:tc>
          <w:tcPr>
            <w:tcW w:w="357" w:type="pct"/>
          </w:tcPr>
          <w:p w:rsidR="00F5354F" w:rsidRPr="00F5354F" w:rsidRDefault="00F5354F"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14</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F5354F" w:rsidRPr="00F5354F" w:rsidRDefault="00F5354F"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Раствор Пре-триггера</w:t>
            </w:r>
          </w:p>
        </w:tc>
        <w:tc>
          <w:tcPr>
            <w:tcW w:w="1655" w:type="pct"/>
            <w:vAlign w:val="center"/>
          </w:tcPr>
          <w:p w:rsidR="00F5354F" w:rsidRPr="00F5354F" w:rsidRDefault="00F5354F"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Совместимость с анализатором ARCHITECT  i1000SR. Состав набора, не менее 4фл* 975мл.</w:t>
            </w:r>
          </w:p>
        </w:tc>
        <w:tc>
          <w:tcPr>
            <w:tcW w:w="824"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2</w:t>
            </w:r>
          </w:p>
        </w:tc>
      </w:tr>
      <w:tr w:rsidR="00F5354F" w:rsidRPr="00F5354F" w:rsidTr="000C26AB">
        <w:tc>
          <w:tcPr>
            <w:tcW w:w="357" w:type="pct"/>
          </w:tcPr>
          <w:p w:rsidR="00F5354F" w:rsidRPr="00F5354F" w:rsidRDefault="00F5354F"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15</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F5354F" w:rsidRPr="00F5354F" w:rsidRDefault="00F5354F"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 xml:space="preserve">Промывающий буфер  </w:t>
            </w:r>
          </w:p>
        </w:tc>
        <w:tc>
          <w:tcPr>
            <w:tcW w:w="1655" w:type="pct"/>
            <w:vAlign w:val="center"/>
          </w:tcPr>
          <w:p w:rsidR="00F5354F" w:rsidRPr="00F5354F" w:rsidRDefault="00F5354F"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Совместимость с анализатором ARCHITECT  i1000SR. Состав набора, не менее 4фл* 975мл.</w:t>
            </w:r>
          </w:p>
        </w:tc>
        <w:tc>
          <w:tcPr>
            <w:tcW w:w="824"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2</w:t>
            </w:r>
          </w:p>
        </w:tc>
      </w:tr>
      <w:tr w:rsidR="00F5354F" w:rsidRPr="00F5354F" w:rsidTr="000C26AB">
        <w:tc>
          <w:tcPr>
            <w:tcW w:w="357" w:type="pct"/>
          </w:tcPr>
          <w:p w:rsidR="00F5354F" w:rsidRPr="00F5354F" w:rsidRDefault="00F5354F"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16</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F5354F" w:rsidRPr="00F5354F" w:rsidRDefault="00F5354F"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Реакционные ячейки</w:t>
            </w:r>
          </w:p>
        </w:tc>
        <w:tc>
          <w:tcPr>
            <w:tcW w:w="1655" w:type="pct"/>
            <w:vAlign w:val="center"/>
          </w:tcPr>
          <w:p w:rsidR="00F5354F" w:rsidRPr="00F5354F" w:rsidRDefault="00F5354F"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Ячейки из специального бесцветного инертного пластика  для </w:t>
            </w:r>
            <w:r w:rsidRPr="00F5354F">
              <w:rPr>
                <w:rFonts w:ascii="Times New Roman" w:hAnsi="Times New Roman"/>
                <w:sz w:val="24"/>
                <w:szCs w:val="24"/>
                <w:lang w:eastAsia="ru-RU"/>
              </w:rPr>
              <w:lastRenderedPageBreak/>
              <w:t>проведения реакции при проведении исследований. Упаковка не менее 4000 ячеек.</w:t>
            </w:r>
          </w:p>
        </w:tc>
        <w:tc>
          <w:tcPr>
            <w:tcW w:w="824" w:type="pct"/>
          </w:tcPr>
          <w:p w:rsidR="00F5354F" w:rsidRPr="00F5354F" w:rsidRDefault="00F5354F" w:rsidP="000C26AB">
            <w:pPr>
              <w:pStyle w:val="a7"/>
              <w:widowControl w:val="0"/>
              <w:autoSpaceDE w:val="0"/>
              <w:autoSpaceDN w:val="0"/>
              <w:adjustRightInd w:val="0"/>
              <w:ind w:left="113"/>
              <w:contextualSpacing/>
              <w:jc w:val="center"/>
              <w:rPr>
                <w:bCs/>
              </w:rPr>
            </w:pPr>
            <w:proofErr w:type="spellStart"/>
            <w:r w:rsidRPr="00F5354F">
              <w:rPr>
                <w:bCs/>
              </w:rPr>
              <w:lastRenderedPageBreak/>
              <w:t>уп</w:t>
            </w:r>
            <w:proofErr w:type="spellEnd"/>
          </w:p>
        </w:tc>
        <w:tc>
          <w:tcPr>
            <w:tcW w:w="543"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F5354F" w:rsidRPr="00F5354F" w:rsidTr="000C26AB">
        <w:tc>
          <w:tcPr>
            <w:tcW w:w="357" w:type="pct"/>
          </w:tcPr>
          <w:p w:rsidR="00F5354F" w:rsidRPr="00F5354F" w:rsidRDefault="00F5354F"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17</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F5354F" w:rsidRPr="00F5354F" w:rsidRDefault="00F5354F"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Кондиционирующий раствор</w:t>
            </w:r>
          </w:p>
        </w:tc>
        <w:tc>
          <w:tcPr>
            <w:tcW w:w="1655" w:type="pct"/>
            <w:vAlign w:val="center"/>
          </w:tcPr>
          <w:p w:rsidR="00F5354F" w:rsidRPr="00F5354F" w:rsidRDefault="00F5354F"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системой ARCHITECT. Назначение: используется в ходе ежедневной процедуры техобслуживания с целью предотвращения неспецифического связывания </w:t>
            </w:r>
            <w:proofErr w:type="spellStart"/>
            <w:r w:rsidRPr="00F5354F">
              <w:rPr>
                <w:rFonts w:ascii="Times New Roman" w:hAnsi="Times New Roman"/>
                <w:sz w:val="24"/>
                <w:szCs w:val="24"/>
                <w:lang w:eastAsia="ru-RU"/>
              </w:rPr>
              <w:t>аналитов</w:t>
            </w:r>
            <w:proofErr w:type="spellEnd"/>
            <w:r w:rsidRPr="00F5354F">
              <w:rPr>
                <w:rFonts w:ascii="Times New Roman" w:hAnsi="Times New Roman"/>
                <w:sz w:val="24"/>
                <w:szCs w:val="24"/>
                <w:lang w:eastAsia="ru-RU"/>
              </w:rPr>
              <w:t xml:space="preserve"> в </w:t>
            </w:r>
            <w:proofErr w:type="spellStart"/>
            <w:r w:rsidRPr="00F5354F">
              <w:rPr>
                <w:rFonts w:ascii="Times New Roman" w:hAnsi="Times New Roman"/>
                <w:sz w:val="24"/>
                <w:szCs w:val="24"/>
                <w:lang w:eastAsia="ru-RU"/>
              </w:rPr>
              <w:t>пробозаборной</w:t>
            </w:r>
            <w:proofErr w:type="spellEnd"/>
            <w:r w:rsidRPr="00F5354F">
              <w:rPr>
                <w:rFonts w:ascii="Times New Roman" w:hAnsi="Times New Roman"/>
                <w:sz w:val="24"/>
                <w:szCs w:val="24"/>
                <w:lang w:eastAsia="ru-RU"/>
              </w:rPr>
              <w:t xml:space="preserve"> игле. Состав раствора: </w:t>
            </w:r>
            <w:proofErr w:type="spellStart"/>
            <w:r w:rsidRPr="00F5354F">
              <w:rPr>
                <w:rFonts w:ascii="Times New Roman" w:hAnsi="Times New Roman"/>
                <w:sz w:val="24"/>
                <w:szCs w:val="24"/>
                <w:lang w:eastAsia="ru-RU"/>
              </w:rPr>
              <w:t>рекальцинированная</w:t>
            </w:r>
            <w:proofErr w:type="spellEnd"/>
            <w:r w:rsidRPr="00F5354F">
              <w:rPr>
                <w:rFonts w:ascii="Times New Roman" w:hAnsi="Times New Roman"/>
                <w:sz w:val="24"/>
                <w:szCs w:val="24"/>
                <w:lang w:eastAsia="ru-RU"/>
              </w:rPr>
              <w:t xml:space="preserve"> плазма крови человека; консерванты. Состав набора, не менее 4фл* 25мл.</w:t>
            </w:r>
          </w:p>
        </w:tc>
        <w:tc>
          <w:tcPr>
            <w:tcW w:w="824"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F5354F" w:rsidRPr="00F5354F" w:rsidTr="000C26AB">
        <w:tc>
          <w:tcPr>
            <w:tcW w:w="357" w:type="pct"/>
          </w:tcPr>
          <w:p w:rsidR="00F5354F" w:rsidRPr="00F5354F" w:rsidRDefault="00F5354F"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18</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F5354F" w:rsidRPr="00F5354F" w:rsidRDefault="00F5354F"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 xml:space="preserve">Набор реагентов для определения </w:t>
            </w:r>
            <w:proofErr w:type="spellStart"/>
            <w:r w:rsidRPr="00F5354F">
              <w:rPr>
                <w:rFonts w:ascii="Times New Roman" w:hAnsi="Times New Roman"/>
                <w:sz w:val="24"/>
                <w:szCs w:val="24"/>
                <w:lang w:eastAsia="ru-RU"/>
              </w:rPr>
              <w:t>фолата</w:t>
            </w:r>
            <w:proofErr w:type="spellEnd"/>
          </w:p>
        </w:tc>
        <w:tc>
          <w:tcPr>
            <w:tcW w:w="1655" w:type="pct"/>
            <w:vAlign w:val="center"/>
          </w:tcPr>
          <w:p w:rsidR="00F5354F" w:rsidRPr="00F5354F" w:rsidRDefault="00F5354F"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Совместимость с анализатором </w:t>
            </w:r>
            <w:proofErr w:type="gramStart"/>
            <w:r w:rsidRPr="00F5354F">
              <w:rPr>
                <w:rFonts w:ascii="Times New Roman" w:hAnsi="Times New Roman"/>
                <w:sz w:val="24"/>
                <w:szCs w:val="24"/>
                <w:lang w:eastAsia="ru-RU"/>
              </w:rPr>
              <w:t>ARCHITECT  i</w:t>
            </w:r>
            <w:proofErr w:type="gramEnd"/>
            <w:r w:rsidRPr="00F5354F">
              <w:rPr>
                <w:rFonts w:ascii="Times New Roman" w:hAnsi="Times New Roman"/>
                <w:sz w:val="24"/>
                <w:szCs w:val="24"/>
                <w:lang w:eastAsia="ru-RU"/>
              </w:rPr>
              <w:t xml:space="preserve">1000SR. Флаконы подходят к ротору без дополнительного перелива. Наличие штрих-кода на этикетке для распознавания растворов. Метод: </w:t>
            </w:r>
            <w:proofErr w:type="spellStart"/>
            <w:r w:rsidRPr="00F5354F">
              <w:rPr>
                <w:rFonts w:ascii="Times New Roman" w:hAnsi="Times New Roman"/>
                <w:sz w:val="24"/>
                <w:szCs w:val="24"/>
                <w:lang w:eastAsia="ru-RU"/>
              </w:rPr>
              <w:t>хемилюминисцентный</w:t>
            </w:r>
            <w:proofErr w:type="spellEnd"/>
            <w:r w:rsidRPr="00F5354F">
              <w:rPr>
                <w:rFonts w:ascii="Times New Roman" w:hAnsi="Times New Roman"/>
                <w:sz w:val="24"/>
                <w:szCs w:val="24"/>
                <w:lang w:eastAsia="ru-RU"/>
              </w:rPr>
              <w:t xml:space="preserve"> </w:t>
            </w:r>
            <w:proofErr w:type="spellStart"/>
            <w:r w:rsidRPr="00F5354F">
              <w:rPr>
                <w:rFonts w:ascii="Times New Roman" w:hAnsi="Times New Roman"/>
                <w:sz w:val="24"/>
                <w:szCs w:val="24"/>
                <w:lang w:eastAsia="ru-RU"/>
              </w:rPr>
              <w:t>иммуноанализ</w:t>
            </w:r>
            <w:proofErr w:type="spellEnd"/>
            <w:r w:rsidRPr="00F5354F">
              <w:rPr>
                <w:rFonts w:ascii="Times New Roman" w:hAnsi="Times New Roman"/>
                <w:sz w:val="24"/>
                <w:szCs w:val="24"/>
                <w:lang w:eastAsia="ru-RU"/>
              </w:rPr>
              <w:t xml:space="preserve"> на микрочастицах. Назначение: для количественного определения </w:t>
            </w:r>
            <w:proofErr w:type="spellStart"/>
            <w:r w:rsidRPr="00F5354F">
              <w:rPr>
                <w:rFonts w:ascii="Times New Roman" w:hAnsi="Times New Roman"/>
                <w:sz w:val="24"/>
                <w:szCs w:val="24"/>
                <w:lang w:eastAsia="ru-RU"/>
              </w:rPr>
              <w:t>фолата</w:t>
            </w:r>
            <w:proofErr w:type="spellEnd"/>
            <w:r w:rsidRPr="00F5354F">
              <w:rPr>
                <w:rFonts w:ascii="Times New Roman" w:hAnsi="Times New Roman"/>
                <w:sz w:val="24"/>
                <w:szCs w:val="24"/>
                <w:lang w:eastAsia="ru-RU"/>
              </w:rPr>
              <w:t xml:space="preserve"> в сыворотке, плазме крови человека. Расчетное количество определений, не менее 100.</w:t>
            </w:r>
          </w:p>
        </w:tc>
        <w:tc>
          <w:tcPr>
            <w:tcW w:w="824"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набор</w:t>
            </w:r>
          </w:p>
        </w:tc>
        <w:tc>
          <w:tcPr>
            <w:tcW w:w="543"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r w:rsidR="00F5354F" w:rsidRPr="00F5354F" w:rsidTr="000C26AB">
        <w:tc>
          <w:tcPr>
            <w:tcW w:w="357" w:type="pct"/>
          </w:tcPr>
          <w:p w:rsidR="00F5354F" w:rsidRPr="00F5354F" w:rsidRDefault="00F5354F" w:rsidP="000C26AB">
            <w:pPr>
              <w:widowControl w:val="0"/>
              <w:autoSpaceDE w:val="0"/>
              <w:autoSpaceDN w:val="0"/>
              <w:adjustRightInd w:val="0"/>
              <w:spacing w:after="0" w:line="240" w:lineRule="auto"/>
              <w:contextualSpacing/>
              <w:jc w:val="center"/>
              <w:rPr>
                <w:rFonts w:ascii="Times New Roman" w:hAnsi="Times New Roman"/>
                <w:bCs/>
                <w:sz w:val="24"/>
                <w:szCs w:val="24"/>
              </w:rPr>
            </w:pPr>
            <w:r w:rsidRPr="00F5354F">
              <w:rPr>
                <w:rFonts w:ascii="Times New Roman" w:hAnsi="Times New Roman"/>
                <w:bCs/>
                <w:sz w:val="24"/>
                <w:szCs w:val="24"/>
              </w:rPr>
              <w:t>19</w:t>
            </w:r>
          </w:p>
        </w:tc>
        <w:tc>
          <w:tcPr>
            <w:tcW w:w="1621" w:type="pct"/>
            <w:tcBorders>
              <w:top w:val="single" w:sz="4" w:space="0" w:color="auto"/>
              <w:left w:val="single" w:sz="4" w:space="0" w:color="auto"/>
              <w:bottom w:val="single" w:sz="4" w:space="0" w:color="auto"/>
              <w:right w:val="single" w:sz="4" w:space="0" w:color="auto"/>
            </w:tcBorders>
            <w:shd w:val="clear" w:color="auto" w:fill="auto"/>
          </w:tcPr>
          <w:p w:rsidR="00F5354F" w:rsidRPr="00F5354F" w:rsidRDefault="00F5354F" w:rsidP="000C26AB">
            <w:pPr>
              <w:widowControl w:val="0"/>
              <w:autoSpaceDE w:val="0"/>
              <w:autoSpaceDN w:val="0"/>
              <w:adjustRightInd w:val="0"/>
              <w:spacing w:after="0" w:line="240" w:lineRule="auto"/>
              <w:ind w:left="113"/>
              <w:contextualSpacing/>
              <w:rPr>
                <w:rFonts w:ascii="Times New Roman" w:hAnsi="Times New Roman"/>
                <w:sz w:val="24"/>
                <w:szCs w:val="24"/>
                <w:lang w:eastAsia="ru-RU"/>
              </w:rPr>
            </w:pPr>
            <w:r w:rsidRPr="00F5354F">
              <w:rPr>
                <w:rFonts w:ascii="Times New Roman" w:hAnsi="Times New Roman"/>
                <w:sz w:val="24"/>
                <w:szCs w:val="24"/>
                <w:lang w:eastAsia="ru-RU"/>
              </w:rPr>
              <w:t xml:space="preserve">Калибратор для определения </w:t>
            </w:r>
            <w:proofErr w:type="spellStart"/>
            <w:r w:rsidRPr="00F5354F">
              <w:rPr>
                <w:rFonts w:ascii="Times New Roman" w:hAnsi="Times New Roman"/>
                <w:sz w:val="24"/>
                <w:szCs w:val="24"/>
                <w:lang w:eastAsia="ru-RU"/>
              </w:rPr>
              <w:t>фолата</w:t>
            </w:r>
            <w:proofErr w:type="spellEnd"/>
          </w:p>
        </w:tc>
        <w:tc>
          <w:tcPr>
            <w:tcW w:w="1655" w:type="pct"/>
            <w:vAlign w:val="center"/>
          </w:tcPr>
          <w:p w:rsidR="00F5354F" w:rsidRPr="00F5354F" w:rsidRDefault="00F5354F" w:rsidP="000C26AB">
            <w:pPr>
              <w:spacing w:after="0" w:line="240" w:lineRule="auto"/>
              <w:rPr>
                <w:rFonts w:ascii="Times New Roman" w:hAnsi="Times New Roman"/>
                <w:sz w:val="24"/>
                <w:szCs w:val="24"/>
                <w:lang w:eastAsia="ru-RU"/>
              </w:rPr>
            </w:pPr>
            <w:r w:rsidRPr="00F5354F">
              <w:rPr>
                <w:rFonts w:ascii="Times New Roman" w:hAnsi="Times New Roman"/>
                <w:sz w:val="24"/>
                <w:szCs w:val="24"/>
                <w:lang w:eastAsia="ru-RU"/>
              </w:rPr>
              <w:t xml:space="preserve">Назначение: для калибровки системы ARCHITECT при количественном определении </w:t>
            </w:r>
            <w:proofErr w:type="spellStart"/>
            <w:r w:rsidRPr="00F5354F">
              <w:rPr>
                <w:rFonts w:ascii="Times New Roman" w:hAnsi="Times New Roman"/>
                <w:sz w:val="24"/>
                <w:szCs w:val="24"/>
                <w:lang w:eastAsia="ru-RU"/>
              </w:rPr>
              <w:t>фолата</w:t>
            </w:r>
            <w:proofErr w:type="spellEnd"/>
            <w:r w:rsidRPr="00F5354F">
              <w:rPr>
                <w:rFonts w:ascii="Times New Roman" w:hAnsi="Times New Roman"/>
                <w:sz w:val="24"/>
                <w:szCs w:val="24"/>
                <w:lang w:eastAsia="ru-RU"/>
              </w:rPr>
              <w:t xml:space="preserve"> в сыворотке, плазме крови человека.</w:t>
            </w:r>
          </w:p>
        </w:tc>
        <w:tc>
          <w:tcPr>
            <w:tcW w:w="824" w:type="pct"/>
          </w:tcPr>
          <w:p w:rsidR="00F5354F" w:rsidRPr="00F5354F" w:rsidRDefault="00F5354F" w:rsidP="00F5354F">
            <w:pPr>
              <w:pStyle w:val="a7"/>
              <w:widowControl w:val="0"/>
              <w:autoSpaceDE w:val="0"/>
              <w:autoSpaceDN w:val="0"/>
              <w:adjustRightInd w:val="0"/>
              <w:ind w:left="113"/>
              <w:contextualSpacing/>
              <w:jc w:val="center"/>
              <w:rPr>
                <w:bCs/>
              </w:rPr>
            </w:pPr>
            <w:r w:rsidRPr="00F5354F">
              <w:rPr>
                <w:bCs/>
              </w:rPr>
              <w:t>набор</w:t>
            </w:r>
          </w:p>
        </w:tc>
        <w:tc>
          <w:tcPr>
            <w:tcW w:w="543" w:type="pct"/>
          </w:tcPr>
          <w:p w:rsidR="00F5354F" w:rsidRPr="00F5354F" w:rsidRDefault="00F5354F" w:rsidP="000C26AB">
            <w:pPr>
              <w:pStyle w:val="a7"/>
              <w:widowControl w:val="0"/>
              <w:autoSpaceDE w:val="0"/>
              <w:autoSpaceDN w:val="0"/>
              <w:adjustRightInd w:val="0"/>
              <w:ind w:left="113"/>
              <w:contextualSpacing/>
              <w:jc w:val="center"/>
              <w:rPr>
                <w:bCs/>
              </w:rPr>
            </w:pPr>
            <w:r w:rsidRPr="00F5354F">
              <w:rPr>
                <w:bCs/>
              </w:rPr>
              <w:t>1</w:t>
            </w:r>
          </w:p>
        </w:tc>
      </w:tr>
    </w:tbl>
    <w:p w:rsidR="00F5354F" w:rsidRPr="00F5354F" w:rsidRDefault="00F5354F" w:rsidP="00F5354F">
      <w:pPr>
        <w:spacing w:line="360" w:lineRule="auto"/>
        <w:jc w:val="center"/>
        <w:rPr>
          <w:sz w:val="26"/>
          <w:szCs w:val="26"/>
        </w:rPr>
      </w:pPr>
    </w:p>
    <w:p w:rsidR="007110CE" w:rsidRPr="00F5354F" w:rsidRDefault="007110CE" w:rsidP="00F5354F">
      <w:pPr>
        <w:spacing w:line="360" w:lineRule="auto"/>
        <w:jc w:val="center"/>
        <w:rPr>
          <w:rFonts w:ascii="Times New Roman" w:hAnsi="Times New Roman"/>
          <w:b/>
          <w:sz w:val="24"/>
          <w:szCs w:val="24"/>
        </w:rPr>
      </w:pPr>
      <w:r w:rsidRPr="00F5354F">
        <w:rPr>
          <w:rFonts w:ascii="Times New Roman" w:hAnsi="Times New Roman"/>
          <w:b/>
          <w:sz w:val="24"/>
          <w:szCs w:val="24"/>
        </w:rPr>
        <w:t>Требования к качеству и безопасности товара:</w:t>
      </w:r>
    </w:p>
    <w:p w:rsidR="007110CE" w:rsidRPr="00F5354F" w:rsidRDefault="007110CE" w:rsidP="007110CE">
      <w:pPr>
        <w:overflowPunct w:val="0"/>
        <w:autoSpaceDE w:val="0"/>
        <w:autoSpaceDN w:val="0"/>
        <w:adjustRightInd w:val="0"/>
        <w:spacing w:after="0" w:line="240" w:lineRule="auto"/>
        <w:contextualSpacing/>
        <w:jc w:val="both"/>
        <w:textAlignment w:val="baseline"/>
        <w:rPr>
          <w:rFonts w:ascii="Times New Roman" w:hAnsi="Times New Roman"/>
          <w:sz w:val="24"/>
          <w:szCs w:val="24"/>
        </w:rPr>
      </w:pPr>
      <w:r w:rsidRPr="00F5354F">
        <w:rPr>
          <w:rFonts w:ascii="Times New Roman" w:hAnsi="Times New Roman"/>
          <w:iCs/>
          <w:sz w:val="24"/>
          <w:szCs w:val="24"/>
        </w:rPr>
        <w:t xml:space="preserve">        1. Товар, являющийся предметом закупки, должен соответствовать требованиям законодательства Российской Федерации, в том числе </w:t>
      </w:r>
      <w:r w:rsidRPr="00F5354F">
        <w:rPr>
          <w:rFonts w:ascii="Times New Roman" w:hAnsi="Times New Roman"/>
          <w:sz w:val="24"/>
          <w:szCs w:val="24"/>
        </w:rPr>
        <w:t>утвержденным Росздравнадзором России и удостоверяется всероссийским сертификатом соответствия, регистрационным удостоверением Минздрава Российской Федерации, иными документами, необходимыми в соответствии с действующим законодательством РФ.</w:t>
      </w:r>
    </w:p>
    <w:p w:rsidR="007110CE" w:rsidRPr="00F5354F" w:rsidRDefault="007110CE" w:rsidP="007110CE">
      <w:pPr>
        <w:tabs>
          <w:tab w:val="left" w:pos="851"/>
        </w:tabs>
        <w:overflowPunct w:val="0"/>
        <w:autoSpaceDE w:val="0"/>
        <w:autoSpaceDN w:val="0"/>
        <w:adjustRightInd w:val="0"/>
        <w:spacing w:after="0" w:line="240" w:lineRule="auto"/>
        <w:ind w:firstLine="426"/>
        <w:contextualSpacing/>
        <w:jc w:val="both"/>
        <w:textAlignment w:val="baseline"/>
        <w:rPr>
          <w:rFonts w:ascii="Times New Roman" w:hAnsi="Times New Roman"/>
          <w:iCs/>
          <w:sz w:val="24"/>
          <w:szCs w:val="24"/>
        </w:rPr>
      </w:pPr>
      <w:r w:rsidRPr="00F5354F">
        <w:rPr>
          <w:rFonts w:ascii="Times New Roman" w:hAnsi="Times New Roman"/>
          <w:iCs/>
          <w:sz w:val="24"/>
          <w:szCs w:val="24"/>
        </w:rPr>
        <w:t xml:space="preserve">2. </w:t>
      </w:r>
      <w:r w:rsidRPr="00F5354F">
        <w:rPr>
          <w:rFonts w:ascii="Times New Roman" w:hAnsi="Times New Roman"/>
          <w:sz w:val="24"/>
          <w:szCs w:val="24"/>
        </w:rPr>
        <w:t>Поставляемый товар новый, не был в употреблении, не был восстановлен, не была осуществлена замена составных частей, не были восстановлены потребительские свойства, в оригинальной упаковке без повреждений, с сохранением всех защитных знаков производителя, обеспечивающей сохранность и целостность товара при транспортировке.</w:t>
      </w:r>
    </w:p>
    <w:p w:rsidR="007110CE" w:rsidRPr="00F5354F" w:rsidRDefault="007110CE" w:rsidP="007110CE">
      <w:pPr>
        <w:tabs>
          <w:tab w:val="left" w:pos="851"/>
        </w:tabs>
        <w:overflowPunct w:val="0"/>
        <w:autoSpaceDE w:val="0"/>
        <w:autoSpaceDN w:val="0"/>
        <w:adjustRightInd w:val="0"/>
        <w:spacing w:after="0" w:line="240" w:lineRule="auto"/>
        <w:ind w:firstLine="426"/>
        <w:contextualSpacing/>
        <w:jc w:val="both"/>
        <w:textAlignment w:val="baseline"/>
        <w:rPr>
          <w:rFonts w:ascii="Times New Roman" w:hAnsi="Times New Roman"/>
          <w:b/>
          <w:sz w:val="24"/>
          <w:szCs w:val="24"/>
        </w:rPr>
      </w:pPr>
      <w:r w:rsidRPr="00F5354F">
        <w:rPr>
          <w:rFonts w:ascii="Times New Roman" w:hAnsi="Times New Roman"/>
          <w:iCs/>
          <w:sz w:val="24"/>
          <w:szCs w:val="24"/>
        </w:rPr>
        <w:lastRenderedPageBreak/>
        <w:t xml:space="preserve">3. Предлагаемый к поставке товар прошел обязательную регистрацию в РФ, испытания и допущен к обращению (продаже и использованию и пр.) на территории РФ, имеет </w:t>
      </w:r>
      <w:r w:rsidRPr="00F5354F">
        <w:rPr>
          <w:rFonts w:ascii="Times New Roman" w:hAnsi="Times New Roman"/>
          <w:sz w:val="24"/>
          <w:szCs w:val="24"/>
          <w:shd w:val="clear" w:color="auto" w:fill="FFFFFF"/>
        </w:rPr>
        <w:t>сертификат соответствия/декларацию о соответствии.</w:t>
      </w:r>
    </w:p>
    <w:p w:rsidR="007110CE" w:rsidRPr="00F5354F" w:rsidRDefault="007110CE" w:rsidP="007110CE">
      <w:pPr>
        <w:tabs>
          <w:tab w:val="left" w:pos="851"/>
        </w:tabs>
        <w:overflowPunct w:val="0"/>
        <w:autoSpaceDE w:val="0"/>
        <w:autoSpaceDN w:val="0"/>
        <w:adjustRightInd w:val="0"/>
        <w:spacing w:after="0" w:line="240" w:lineRule="auto"/>
        <w:ind w:firstLine="426"/>
        <w:contextualSpacing/>
        <w:jc w:val="both"/>
        <w:textAlignment w:val="baseline"/>
        <w:rPr>
          <w:rFonts w:ascii="Times New Roman" w:hAnsi="Times New Roman"/>
          <w:b/>
          <w:sz w:val="24"/>
          <w:szCs w:val="24"/>
        </w:rPr>
      </w:pPr>
      <w:r w:rsidRPr="00F5354F">
        <w:rPr>
          <w:rFonts w:ascii="Times New Roman" w:hAnsi="Times New Roman"/>
          <w:iCs/>
          <w:sz w:val="24"/>
          <w:szCs w:val="24"/>
        </w:rPr>
        <w:t>4. Поставляемый товар соответствует обязательным требованиям, обеспечивает его безопасность для жизни, здоровья, имущества Заказчика и окружающей среды при обычных условиях его использования, хранения, транспортировки и утилизации.</w:t>
      </w:r>
    </w:p>
    <w:p w:rsidR="007110CE" w:rsidRPr="00F5354F" w:rsidRDefault="007110CE" w:rsidP="007110CE">
      <w:pPr>
        <w:shd w:val="clear" w:color="auto" w:fill="FFFFFF"/>
        <w:spacing w:after="0" w:line="240" w:lineRule="auto"/>
        <w:ind w:firstLine="426"/>
        <w:contextualSpacing/>
        <w:jc w:val="both"/>
        <w:rPr>
          <w:rFonts w:ascii="Times New Roman" w:eastAsia="Arial Unicode MS" w:hAnsi="Times New Roman"/>
          <w:sz w:val="24"/>
          <w:szCs w:val="24"/>
          <w:shd w:val="clear" w:color="auto" w:fill="FFFFFF"/>
        </w:rPr>
      </w:pPr>
      <w:r w:rsidRPr="00F5354F">
        <w:rPr>
          <w:rFonts w:ascii="Times New Roman" w:eastAsia="Arial Unicode MS" w:hAnsi="Times New Roman"/>
          <w:sz w:val="24"/>
          <w:szCs w:val="24"/>
        </w:rPr>
        <w:t>5. Товар имеет необходимые маркировки, ярлыки, наклейки и т.п., согласно действующему законодательству Российской Федерации.</w:t>
      </w:r>
    </w:p>
    <w:p w:rsidR="007110CE" w:rsidRPr="00F5354F" w:rsidRDefault="007110CE" w:rsidP="007110CE">
      <w:pPr>
        <w:shd w:val="clear" w:color="auto" w:fill="FFFFFF"/>
        <w:spacing w:after="0" w:line="240" w:lineRule="auto"/>
        <w:ind w:firstLine="426"/>
        <w:contextualSpacing/>
        <w:jc w:val="both"/>
        <w:rPr>
          <w:rFonts w:ascii="Times New Roman" w:eastAsia="Arial Unicode MS" w:hAnsi="Times New Roman"/>
          <w:sz w:val="24"/>
          <w:szCs w:val="24"/>
        </w:rPr>
      </w:pPr>
      <w:r w:rsidRPr="00F5354F">
        <w:rPr>
          <w:rFonts w:ascii="Times New Roman" w:eastAsia="Arial Unicode MS" w:hAnsi="Times New Roman"/>
          <w:iCs/>
          <w:sz w:val="24"/>
          <w:szCs w:val="24"/>
        </w:rPr>
        <w:t xml:space="preserve">6. </w:t>
      </w:r>
      <w:r w:rsidRPr="00F5354F">
        <w:rPr>
          <w:rFonts w:ascii="Times New Roman" w:eastAsia="Arial Unicode MS" w:hAnsi="Times New Roman"/>
          <w:sz w:val="24"/>
          <w:szCs w:val="24"/>
        </w:rPr>
        <w:t>Поставщик гарантирует качество поставляемого Товара в течение всего срока годности, установленного производителем данного товара:</w:t>
      </w:r>
    </w:p>
    <w:p w:rsidR="007110CE" w:rsidRPr="00F5354F" w:rsidRDefault="007110CE" w:rsidP="007110CE">
      <w:pPr>
        <w:shd w:val="clear" w:color="auto" w:fill="FFFFFF"/>
        <w:spacing w:after="0" w:line="240" w:lineRule="auto"/>
        <w:ind w:firstLine="426"/>
        <w:contextualSpacing/>
        <w:jc w:val="both"/>
        <w:rPr>
          <w:rFonts w:ascii="Times New Roman" w:eastAsia="Arial Unicode MS" w:hAnsi="Times New Roman"/>
          <w:sz w:val="24"/>
          <w:szCs w:val="24"/>
        </w:rPr>
      </w:pPr>
      <w:r w:rsidRPr="00F5354F">
        <w:rPr>
          <w:rFonts w:ascii="Times New Roman" w:eastAsia="Arial Unicode MS" w:hAnsi="Times New Roman"/>
          <w:sz w:val="24"/>
          <w:szCs w:val="24"/>
        </w:rPr>
        <w:t>6.1. Срок годности (срок стерильности) на Товар составляет не менее 12 месяцев с даты изготовления;</w:t>
      </w:r>
    </w:p>
    <w:p w:rsidR="007110CE" w:rsidRPr="00F5354F" w:rsidRDefault="007110CE" w:rsidP="00F5354F">
      <w:pPr>
        <w:shd w:val="clear" w:color="auto" w:fill="FFFFFF"/>
        <w:spacing w:after="0" w:line="240" w:lineRule="auto"/>
        <w:ind w:firstLine="426"/>
        <w:contextualSpacing/>
        <w:jc w:val="both"/>
        <w:rPr>
          <w:rFonts w:ascii="Times New Roman" w:eastAsia="Arial Unicode MS" w:hAnsi="Times New Roman"/>
          <w:sz w:val="24"/>
          <w:szCs w:val="24"/>
        </w:rPr>
      </w:pPr>
      <w:r w:rsidRPr="00F5354F">
        <w:rPr>
          <w:rFonts w:ascii="Times New Roman" w:eastAsia="Arial Unicode MS" w:hAnsi="Times New Roman"/>
          <w:sz w:val="24"/>
          <w:szCs w:val="24"/>
        </w:rPr>
        <w:t xml:space="preserve">6.2. Срок годности/стерильности на Товар на момент передачи его Покупателю и подписания документов приема-передачи должен составлять не менее 70% от срока, указанного производителем. </w:t>
      </w:r>
    </w:p>
    <w:p w:rsidR="007110CE" w:rsidRPr="00F5354F" w:rsidRDefault="007110CE" w:rsidP="007110CE">
      <w:pPr>
        <w:tabs>
          <w:tab w:val="left" w:pos="851"/>
        </w:tabs>
        <w:overflowPunct w:val="0"/>
        <w:autoSpaceDE w:val="0"/>
        <w:autoSpaceDN w:val="0"/>
        <w:adjustRightInd w:val="0"/>
        <w:spacing w:after="0" w:line="240" w:lineRule="auto"/>
        <w:ind w:firstLine="426"/>
        <w:contextualSpacing/>
        <w:jc w:val="center"/>
        <w:textAlignment w:val="baseline"/>
        <w:rPr>
          <w:rFonts w:ascii="Times New Roman" w:hAnsi="Times New Roman"/>
          <w:b/>
          <w:sz w:val="24"/>
          <w:szCs w:val="24"/>
        </w:rPr>
      </w:pPr>
      <w:r w:rsidRPr="00F5354F">
        <w:rPr>
          <w:rFonts w:ascii="Times New Roman" w:hAnsi="Times New Roman"/>
          <w:b/>
          <w:sz w:val="24"/>
          <w:szCs w:val="24"/>
        </w:rPr>
        <w:t>Требования к таре и упаковке товара:</w:t>
      </w:r>
    </w:p>
    <w:p w:rsidR="007110CE" w:rsidRPr="00F5354F" w:rsidRDefault="007110CE" w:rsidP="007110CE">
      <w:pPr>
        <w:widowControl w:val="0"/>
        <w:tabs>
          <w:tab w:val="left" w:pos="-567"/>
          <w:tab w:val="center" w:pos="4677"/>
        </w:tabs>
        <w:autoSpaceDE w:val="0"/>
        <w:autoSpaceDN w:val="0"/>
        <w:adjustRightInd w:val="0"/>
        <w:spacing w:after="0" w:line="240" w:lineRule="auto"/>
        <w:ind w:firstLine="426"/>
        <w:contextualSpacing/>
        <w:jc w:val="both"/>
        <w:rPr>
          <w:rFonts w:ascii="Times New Roman" w:hAnsi="Times New Roman"/>
          <w:bCs/>
          <w:sz w:val="24"/>
          <w:szCs w:val="24"/>
        </w:rPr>
      </w:pPr>
      <w:r w:rsidRPr="00F5354F">
        <w:rPr>
          <w:rFonts w:ascii="Times New Roman" w:hAnsi="Times New Roman"/>
          <w:bCs/>
          <w:sz w:val="24"/>
          <w:szCs w:val="24"/>
        </w:rPr>
        <w:t>Транспортировка Товара должна производиться в строгом соответствии с установленными правилами и стандартами, применяемыми для данного рода Товара.</w:t>
      </w:r>
    </w:p>
    <w:p w:rsidR="007110CE" w:rsidRPr="00F5354F" w:rsidRDefault="007110CE" w:rsidP="007110CE">
      <w:pPr>
        <w:tabs>
          <w:tab w:val="left" w:pos="-567"/>
        </w:tabs>
        <w:spacing w:after="0" w:line="240" w:lineRule="auto"/>
        <w:ind w:firstLine="426"/>
        <w:contextualSpacing/>
        <w:jc w:val="both"/>
        <w:rPr>
          <w:rFonts w:ascii="Times New Roman" w:hAnsi="Times New Roman"/>
          <w:sz w:val="24"/>
          <w:szCs w:val="24"/>
        </w:rPr>
      </w:pPr>
      <w:r w:rsidRPr="00F5354F">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 Перед упаковкой Товар должен быть соответственно законсервирован для предохранения от порчи во время транспортировки и хранения.</w:t>
      </w:r>
    </w:p>
    <w:p w:rsidR="007110CE" w:rsidRPr="00F5354F" w:rsidRDefault="007110CE" w:rsidP="007110CE">
      <w:pPr>
        <w:spacing w:after="0" w:line="240" w:lineRule="auto"/>
        <w:ind w:right="566"/>
        <w:contextualSpacing/>
        <w:rPr>
          <w:rFonts w:ascii="Times New Roman" w:hAnsi="Times New Roman"/>
          <w:sz w:val="24"/>
          <w:szCs w:val="24"/>
        </w:rPr>
      </w:pPr>
    </w:p>
    <w:p w:rsidR="007110CE" w:rsidRPr="00F5354F" w:rsidRDefault="007110CE" w:rsidP="007110CE">
      <w:pPr>
        <w:spacing w:after="0" w:line="240" w:lineRule="auto"/>
        <w:contextualSpacing/>
        <w:rPr>
          <w:rFonts w:ascii="Times New Roman" w:hAnsi="Times New Roman"/>
          <w:sz w:val="24"/>
          <w:szCs w:val="24"/>
        </w:rPr>
      </w:pPr>
      <w:r w:rsidRPr="00F5354F">
        <w:rPr>
          <w:rFonts w:ascii="Times New Roman" w:hAnsi="Times New Roman"/>
          <w:sz w:val="24"/>
          <w:szCs w:val="24"/>
        </w:rPr>
        <w:t xml:space="preserve"> </w:t>
      </w:r>
    </w:p>
    <w:p w:rsidR="007110CE" w:rsidRPr="00F5354F" w:rsidRDefault="007110CE" w:rsidP="007110CE">
      <w:pPr>
        <w:spacing w:after="0" w:line="240" w:lineRule="auto"/>
        <w:contextualSpacing/>
        <w:rPr>
          <w:rFonts w:ascii="Times New Roman" w:hAnsi="Times New Roman"/>
          <w:sz w:val="24"/>
          <w:szCs w:val="24"/>
        </w:rPr>
      </w:pPr>
    </w:p>
    <w:p w:rsidR="009E6454" w:rsidRPr="00F5354F" w:rsidRDefault="009E6454" w:rsidP="007110CE">
      <w:pPr>
        <w:spacing w:after="0" w:line="240" w:lineRule="auto"/>
        <w:contextualSpacing/>
        <w:jc w:val="center"/>
        <w:rPr>
          <w:rFonts w:ascii="Times New Roman" w:hAnsi="Times New Roman"/>
          <w:sz w:val="24"/>
          <w:szCs w:val="24"/>
        </w:rPr>
      </w:pPr>
    </w:p>
    <w:sectPr w:rsidR="009E6454" w:rsidRPr="00F535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E53EF3"/>
    <w:multiLevelType w:val="hybridMultilevel"/>
    <w:tmpl w:val="403EE0BA"/>
    <w:lvl w:ilvl="0" w:tplc="0419000F">
      <w:start w:val="1"/>
      <w:numFmt w:val="decimal"/>
      <w:lvlText w:val="%1."/>
      <w:lvlJc w:val="left"/>
      <w:pPr>
        <w:ind w:left="928"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C403412"/>
    <w:multiLevelType w:val="hybridMultilevel"/>
    <w:tmpl w:val="88025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66109B"/>
    <w:multiLevelType w:val="hybridMultilevel"/>
    <w:tmpl w:val="88025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39"/>
    <w:rsid w:val="000C26AB"/>
    <w:rsid w:val="0012523C"/>
    <w:rsid w:val="00266926"/>
    <w:rsid w:val="00314FAA"/>
    <w:rsid w:val="003350A5"/>
    <w:rsid w:val="00352AD7"/>
    <w:rsid w:val="004C546F"/>
    <w:rsid w:val="005141C9"/>
    <w:rsid w:val="005F7F5C"/>
    <w:rsid w:val="00606FC7"/>
    <w:rsid w:val="006462CE"/>
    <w:rsid w:val="00664AA9"/>
    <w:rsid w:val="007110CE"/>
    <w:rsid w:val="00726639"/>
    <w:rsid w:val="008620FF"/>
    <w:rsid w:val="009E12AE"/>
    <w:rsid w:val="009E6454"/>
    <w:rsid w:val="00AF0BA0"/>
    <w:rsid w:val="00BE677B"/>
    <w:rsid w:val="00D12161"/>
    <w:rsid w:val="00D41F21"/>
    <w:rsid w:val="00E17AAE"/>
    <w:rsid w:val="00EA5376"/>
    <w:rsid w:val="00ED504A"/>
    <w:rsid w:val="00F5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F7EE4"/>
  <w15:chartTrackingRefBased/>
  <w15:docId w15:val="{A9EA554F-35EF-43EC-921C-8D0FE58E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6AB"/>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
    <w:basedOn w:val="a"/>
    <w:link w:val="a4"/>
    <w:uiPriority w:val="99"/>
    <w:rsid w:val="00D41F21"/>
    <w:pPr>
      <w:spacing w:after="0" w:line="240" w:lineRule="auto"/>
      <w:jc w:val="both"/>
    </w:pPr>
    <w:rPr>
      <w:rFonts w:ascii="Times New Roman" w:hAnsi="Times New Roman"/>
      <w:sz w:val="24"/>
      <w:szCs w:val="24"/>
      <w:lang w:eastAsia="ru-RU"/>
    </w:r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uiPriority w:val="99"/>
    <w:rsid w:val="00D41F21"/>
    <w:rPr>
      <w:rFonts w:ascii="Times New Roman" w:eastAsia="Times New Roman" w:hAnsi="Times New Roman" w:cs="Times New Roman"/>
      <w:sz w:val="24"/>
      <w:szCs w:val="24"/>
      <w:lang w:eastAsia="ru-RU"/>
    </w:rPr>
  </w:style>
  <w:style w:type="paragraph" w:styleId="a5">
    <w:name w:val="header"/>
    <w:basedOn w:val="a"/>
    <w:link w:val="a6"/>
    <w:uiPriority w:val="99"/>
    <w:rsid w:val="00D41F21"/>
    <w:pPr>
      <w:widowControl w:val="0"/>
      <w:tabs>
        <w:tab w:val="center" w:pos="4677"/>
        <w:tab w:val="right" w:pos="9355"/>
      </w:tabs>
      <w:autoSpaceDE w:val="0"/>
      <w:autoSpaceDN w:val="0"/>
      <w:adjustRightInd w:val="0"/>
      <w:spacing w:after="0" w:line="240" w:lineRule="auto"/>
    </w:pPr>
    <w:rPr>
      <w:rFonts w:ascii="Times New Roman" w:hAnsi="Times New Roman"/>
      <w:sz w:val="20"/>
      <w:szCs w:val="20"/>
      <w:lang w:eastAsia="ru-RU"/>
    </w:rPr>
  </w:style>
  <w:style w:type="character" w:customStyle="1" w:styleId="a6">
    <w:name w:val="Верхний колонтитул Знак"/>
    <w:basedOn w:val="a0"/>
    <w:link w:val="a5"/>
    <w:uiPriority w:val="99"/>
    <w:rsid w:val="00D41F21"/>
    <w:rPr>
      <w:rFonts w:ascii="Times New Roman" w:eastAsia="Times New Roman" w:hAnsi="Times New Roman" w:cs="Times New Roman"/>
      <w:sz w:val="20"/>
      <w:szCs w:val="20"/>
      <w:lang w:eastAsia="ru-RU"/>
    </w:rPr>
  </w:style>
  <w:style w:type="character" w:customStyle="1" w:styleId="5">
    <w:name w:val="Основной текст (5)_"/>
    <w:link w:val="50"/>
    <w:rsid w:val="009E6454"/>
    <w:rPr>
      <w:shd w:val="clear" w:color="auto" w:fill="FFFFFF"/>
    </w:rPr>
  </w:style>
  <w:style w:type="paragraph" w:customStyle="1" w:styleId="50">
    <w:name w:val="Основной текст (5)"/>
    <w:basedOn w:val="a"/>
    <w:link w:val="5"/>
    <w:rsid w:val="009E6454"/>
    <w:pPr>
      <w:widowControl w:val="0"/>
      <w:shd w:val="clear" w:color="auto" w:fill="FFFFFF"/>
      <w:spacing w:after="0" w:line="0" w:lineRule="atLeast"/>
    </w:pPr>
    <w:rPr>
      <w:rFonts w:asciiTheme="minorHAnsi" w:eastAsiaTheme="minorHAnsi" w:hAnsiTheme="minorHAnsi" w:cstheme="minorBidi"/>
    </w:rPr>
  </w:style>
  <w:style w:type="paragraph" w:styleId="a7">
    <w:name w:val="No Spacing"/>
    <w:link w:val="a8"/>
    <w:uiPriority w:val="1"/>
    <w:qFormat/>
    <w:rsid w:val="009E12AE"/>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9E12AE"/>
    <w:rPr>
      <w:rFonts w:ascii="Times New Roman" w:eastAsia="Times New Roman" w:hAnsi="Times New Roman" w:cs="Times New Roman"/>
      <w:sz w:val="24"/>
      <w:szCs w:val="24"/>
      <w:lang w:eastAsia="ru-RU"/>
    </w:rPr>
  </w:style>
  <w:style w:type="paragraph" w:styleId="a9">
    <w:name w:val="Normal (Web)"/>
    <w:basedOn w:val="a"/>
    <w:uiPriority w:val="99"/>
    <w:rsid w:val="00BE677B"/>
    <w:pPr>
      <w:spacing w:before="100" w:beforeAutospacing="1" w:after="100" w:afterAutospacing="1" w:line="240" w:lineRule="auto"/>
    </w:pPr>
    <w:rPr>
      <w:rFonts w:ascii="Times New Roman" w:hAnsi="Times New Roman"/>
      <w:sz w:val="24"/>
      <w:szCs w:val="24"/>
      <w:lang w:eastAsia="ru-RU"/>
    </w:rPr>
  </w:style>
  <w:style w:type="paragraph" w:customStyle="1" w:styleId="Standard">
    <w:name w:val="Standard"/>
    <w:rsid w:val="000C26AB"/>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201963">
      <w:bodyDiv w:val="1"/>
      <w:marLeft w:val="0"/>
      <w:marRight w:val="0"/>
      <w:marTop w:val="0"/>
      <w:marBottom w:val="0"/>
      <w:divBdr>
        <w:top w:val="none" w:sz="0" w:space="0" w:color="auto"/>
        <w:left w:val="none" w:sz="0" w:space="0" w:color="auto"/>
        <w:bottom w:val="none" w:sz="0" w:space="0" w:color="auto"/>
        <w:right w:val="none" w:sz="0" w:space="0" w:color="auto"/>
      </w:divBdr>
      <w:divsChild>
        <w:div w:id="1056659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5</Pages>
  <Words>1270</Words>
  <Characters>7240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Владимирович Приль</dc:creator>
  <cp:keywords/>
  <dc:description/>
  <cp:lastModifiedBy>Алена Евгеньевна Кощеева</cp:lastModifiedBy>
  <cp:revision>19</cp:revision>
  <dcterms:created xsi:type="dcterms:W3CDTF">2022-05-06T01:29:00Z</dcterms:created>
  <dcterms:modified xsi:type="dcterms:W3CDTF">2024-01-15T09:15:00Z</dcterms:modified>
</cp:coreProperties>
</file>