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E6" w:rsidRPr="007361BB" w:rsidRDefault="004F4CE6" w:rsidP="004F4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1B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4F4CE6" w:rsidRPr="007361BB" w:rsidRDefault="004F4CE6" w:rsidP="004F4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1BB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32EE9">
        <w:rPr>
          <w:rFonts w:ascii="Times New Roman" w:hAnsi="Times New Roman" w:cs="Times New Roman"/>
          <w:b/>
          <w:sz w:val="24"/>
          <w:szCs w:val="24"/>
        </w:rPr>
        <w:t>средств диагностики</w:t>
      </w:r>
    </w:p>
    <w:p w:rsidR="004F4CE6" w:rsidRPr="0086064D" w:rsidRDefault="004F4CE6" w:rsidP="004F4C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4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6064D">
        <w:rPr>
          <w:rFonts w:ascii="Times New Roman" w:hAnsi="Times New Roman" w:cs="Times New Roman"/>
          <w:sz w:val="24"/>
          <w:szCs w:val="24"/>
        </w:rPr>
        <w:t>астное учреждение здравоохранения «Поликлиника «РЖД – Медицина» города Кемь».</w:t>
      </w:r>
    </w:p>
    <w:p w:rsidR="004F4CE6" w:rsidRPr="00115579" w:rsidRDefault="004F4CE6" w:rsidP="00115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4D">
        <w:rPr>
          <w:rFonts w:ascii="Times New Roman" w:hAnsi="Times New Roman" w:cs="Times New Roman"/>
          <w:b/>
          <w:sz w:val="24"/>
          <w:szCs w:val="24"/>
        </w:rPr>
        <w:t>Сроки поставки товара</w:t>
      </w:r>
      <w:r w:rsidRPr="0086064D">
        <w:rPr>
          <w:rFonts w:ascii="Times New Roman" w:hAnsi="Times New Roman" w:cs="Times New Roman"/>
          <w:sz w:val="24"/>
          <w:szCs w:val="24"/>
        </w:rPr>
        <w:t xml:space="preserve">: </w:t>
      </w:r>
      <w:r w:rsidR="00132EE9">
        <w:rPr>
          <w:rFonts w:ascii="Times New Roman" w:hAnsi="Times New Roman"/>
          <w:sz w:val="24"/>
          <w:szCs w:val="24"/>
        </w:rPr>
        <w:t>с момента подписания Сторонами Договора</w:t>
      </w:r>
      <w:r w:rsidR="00E34869">
        <w:rPr>
          <w:rFonts w:ascii="Times New Roman" w:hAnsi="Times New Roman"/>
          <w:sz w:val="24"/>
          <w:szCs w:val="24"/>
        </w:rPr>
        <w:t xml:space="preserve"> по 29 февраля 2024 года</w:t>
      </w:r>
      <w:r w:rsidR="00132EE9">
        <w:rPr>
          <w:rFonts w:ascii="Times New Roman" w:hAnsi="Times New Roman"/>
          <w:sz w:val="24"/>
          <w:szCs w:val="24"/>
        </w:rPr>
        <w:t>.</w:t>
      </w:r>
    </w:p>
    <w:p w:rsidR="004D581A" w:rsidRDefault="004F4CE6" w:rsidP="004D58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4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86064D">
        <w:rPr>
          <w:rFonts w:ascii="Times New Roman" w:hAnsi="Times New Roman" w:cs="Times New Roman"/>
          <w:sz w:val="24"/>
          <w:szCs w:val="24"/>
        </w:rPr>
        <w:t xml:space="preserve">: 186615, Республика Карелия, </w:t>
      </w:r>
      <w:proofErr w:type="spellStart"/>
      <w:r w:rsidRPr="0086064D">
        <w:rPr>
          <w:rFonts w:ascii="Times New Roman" w:hAnsi="Times New Roman" w:cs="Times New Roman"/>
          <w:sz w:val="24"/>
          <w:szCs w:val="24"/>
        </w:rPr>
        <w:t>Кемский</w:t>
      </w:r>
      <w:proofErr w:type="spellEnd"/>
      <w:r w:rsidRPr="0086064D">
        <w:rPr>
          <w:rFonts w:ascii="Times New Roman" w:hAnsi="Times New Roman" w:cs="Times New Roman"/>
          <w:sz w:val="24"/>
          <w:szCs w:val="24"/>
        </w:rPr>
        <w:t xml:space="preserve"> район, город Кемь, улица Шоссе 1 мая, дом 9. </w:t>
      </w:r>
    </w:p>
    <w:p w:rsidR="004F4CE6" w:rsidRPr="0086064D" w:rsidRDefault="004F4CE6" w:rsidP="004F4C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4D">
        <w:rPr>
          <w:rFonts w:ascii="Times New Roman" w:hAnsi="Times New Roman" w:cs="Times New Roman"/>
          <w:sz w:val="24"/>
          <w:szCs w:val="24"/>
        </w:rPr>
        <w:t>Поставка осуществляется в рабочие дни Покупателя (с понедельника по пятницу, исключая нерабочие праздничные дни) с 08 часов 00 минут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064D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064D">
        <w:rPr>
          <w:rFonts w:ascii="Times New Roman" w:hAnsi="Times New Roman" w:cs="Times New Roman"/>
          <w:sz w:val="24"/>
          <w:szCs w:val="24"/>
        </w:rPr>
        <w:t>0 минут. Время поставки согласовывается не менее чем за 48 часов до поставки.</w:t>
      </w:r>
    </w:p>
    <w:p w:rsidR="004F4CE6" w:rsidRPr="0086064D" w:rsidRDefault="004F4CE6" w:rsidP="004F4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064D">
        <w:rPr>
          <w:rFonts w:ascii="Times New Roman" w:hAnsi="Times New Roman" w:cs="Times New Roman"/>
          <w:b/>
          <w:sz w:val="24"/>
          <w:szCs w:val="24"/>
        </w:rPr>
        <w:t>Общие требования к поставляемым товарам (сведения о товарах (сведения о качестве, технических характеристиках товаров, их безопасности, функциональных характеристиках (потребительских свойствах) и количестве поставляемых товаров):</w:t>
      </w:r>
      <w:proofErr w:type="gramEnd"/>
    </w:p>
    <w:p w:rsidR="004F4CE6" w:rsidRPr="0086064D" w:rsidRDefault="004F4CE6" w:rsidP="004F4CE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64D">
        <w:rPr>
          <w:rFonts w:ascii="Times New Roman" w:hAnsi="Times New Roman" w:cs="Times New Roman"/>
          <w:sz w:val="24"/>
          <w:szCs w:val="24"/>
        </w:rPr>
        <w:t>Качество поставляемого товара должно подтверждаться сертификатами соответствия и/или декларацией о соответствии, регистрационным удостоверением, Товар должен соответствовать санитарно-гигиеническим и экологическим требованиям, нормам и правилам техники безопасности и пожарной безопасности.</w:t>
      </w:r>
    </w:p>
    <w:p w:rsidR="004F4CE6" w:rsidRPr="0086064D" w:rsidRDefault="004F4CE6" w:rsidP="004F4CE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64D">
        <w:rPr>
          <w:rFonts w:ascii="Times New Roman" w:hAnsi="Times New Roman" w:cs="Times New Roman"/>
          <w:sz w:val="24"/>
          <w:szCs w:val="24"/>
        </w:rPr>
        <w:t>Поставщик должен обеспечить упаковку товара, способную предотвратить его повреждение или порчу во время перевозки к месту доставки. Упаковка товара должна полностью обеспечивать условия транспортировки, предъявляемые к данному виду товара.</w:t>
      </w:r>
    </w:p>
    <w:p w:rsidR="004F4CE6" w:rsidRPr="0086064D" w:rsidRDefault="004F4CE6" w:rsidP="004F4CE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64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Регистрационное удостоверение, сертификаты качества и декларация о соответствии в обязательном порядке предоставляются Поставщиком при поставке товара при условии, что это предусмотрено законодательством Российской Федерации</w:t>
      </w:r>
    </w:p>
    <w:p w:rsidR="004F4CE6" w:rsidRPr="0086064D" w:rsidRDefault="004F4CE6" w:rsidP="004F4CE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64D">
        <w:rPr>
          <w:rFonts w:ascii="Times New Roman" w:hAnsi="Times New Roman" w:cs="Times New Roman"/>
          <w:sz w:val="24"/>
          <w:szCs w:val="24"/>
        </w:rPr>
        <w:t xml:space="preserve">Товар должен быть новым (товаром, который не был в употреблении, в ремонте, в том </w:t>
      </w:r>
      <w:proofErr w:type="gramStart"/>
      <w:r w:rsidRPr="0086064D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6064D">
        <w:rPr>
          <w:rFonts w:ascii="Times New Roman" w:hAnsi="Times New Roman" w:cs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свойства), не бывшем в употреблении и не использованным в качестве выставочного образца.</w:t>
      </w:r>
    </w:p>
    <w:p w:rsidR="004F4CE6" w:rsidRDefault="004F4CE6" w:rsidP="004F4CE6">
      <w:pPr>
        <w:pStyle w:val="a7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64D">
        <w:rPr>
          <w:rFonts w:ascii="Times New Roman" w:hAnsi="Times New Roman" w:cs="Times New Roman"/>
          <w:sz w:val="24"/>
          <w:szCs w:val="24"/>
          <w:lang w:eastAsia="ru-RU"/>
        </w:rPr>
        <w:t>Условия транспортировки Товара должны обеспечивать соблюдение температурного режима в соответствии с требованиями, указанными производителем.</w:t>
      </w:r>
    </w:p>
    <w:p w:rsidR="004D581A" w:rsidRDefault="004D581A" w:rsidP="004F4CE6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4CE6" w:rsidRPr="0086064D" w:rsidRDefault="004F4CE6" w:rsidP="004F4CE6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064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Спецификация поставляемых товаров</w:t>
      </w:r>
    </w:p>
    <w:p w:rsidR="004F4CE6" w:rsidRDefault="004F4CE6"/>
    <w:tbl>
      <w:tblPr>
        <w:tblpPr w:leftFromText="180" w:rightFromText="180" w:horzAnchor="margin" w:tblpY="405"/>
        <w:tblW w:w="4996" w:type="pct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833"/>
        <w:gridCol w:w="1543"/>
        <w:gridCol w:w="449"/>
        <w:gridCol w:w="1142"/>
        <w:gridCol w:w="1115"/>
        <w:gridCol w:w="659"/>
        <w:gridCol w:w="1443"/>
        <w:gridCol w:w="1261"/>
        <w:gridCol w:w="1206"/>
        <w:gridCol w:w="1843"/>
        <w:gridCol w:w="586"/>
        <w:gridCol w:w="1662"/>
        <w:gridCol w:w="805"/>
        <w:gridCol w:w="751"/>
      </w:tblGrid>
      <w:tr w:rsidR="00DE53C9" w:rsidRPr="004F4CE6" w:rsidTr="00351C51">
        <w:trPr>
          <w:cantSplit/>
        </w:trPr>
        <w:tc>
          <w:tcPr>
            <w:tcW w:w="394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DE53C9" w:rsidRPr="004F4CE6" w:rsidRDefault="00DE53C9" w:rsidP="004F4C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869" w:rsidRDefault="00E34869">
      <w:r>
        <w:tab/>
      </w:r>
    </w:p>
    <w:tbl>
      <w:tblPr>
        <w:tblW w:w="162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60"/>
        <w:gridCol w:w="1916"/>
        <w:gridCol w:w="1842"/>
        <w:gridCol w:w="2835"/>
        <w:gridCol w:w="2337"/>
        <w:gridCol w:w="3328"/>
        <w:gridCol w:w="851"/>
        <w:gridCol w:w="708"/>
      </w:tblGrid>
      <w:tr w:rsidR="00E34869" w:rsidRPr="005F073D" w:rsidTr="00E34869">
        <w:trPr>
          <w:trHeight w:val="89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34869" w:rsidRPr="005F073D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</w:tcPr>
          <w:p w:rsidR="00E34869" w:rsidRPr="005F073D" w:rsidRDefault="00E34869" w:rsidP="00E348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E34869" w:rsidRPr="005F073D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товара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34869" w:rsidRPr="005F073D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 КТРУ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34869" w:rsidRPr="005F073D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по КТРУ</w:t>
            </w:r>
          </w:p>
        </w:tc>
        <w:tc>
          <w:tcPr>
            <w:tcW w:w="2337" w:type="dxa"/>
          </w:tcPr>
          <w:p w:rsidR="00E34869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по КТРУ</w:t>
            </w:r>
          </w:p>
        </w:tc>
        <w:tc>
          <w:tcPr>
            <w:tcW w:w="3328" w:type="dxa"/>
          </w:tcPr>
          <w:p w:rsidR="00E34869" w:rsidRPr="005F073D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34869" w:rsidRPr="005F073D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5F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5F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5F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34869" w:rsidRPr="005F073D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0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34869" w:rsidRPr="005F073D" w:rsidTr="00E34869">
        <w:trPr>
          <w:trHeight w:val="2550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21.20.23.110-00006885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определения концентрации калия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Калий (K+) ИВД, набор, нефелометрический/турбидиметрический анализ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количественного определения калия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potassium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) (К+) в клиническом образце методом нефелометрического/турбидиметрического анализа.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337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выполняемых тестов: ≥250 Штука.</w:t>
            </w: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Метод: турбидиметрический  без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депротеинизации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Анализируемы образец: сыворотка, плазма крови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 набора: 1.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Монореагент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Тетрафенилборат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натрия, натрий едкий; 2. Калибратор: калий хлористый.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Линейность в диапазоне от 1 до 10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/л.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Фасовка: реагент 1 - 1х100 мл, калибратор - 1х1 мл.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 не менее 10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4206DB" w:rsidP="0042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4869" w:rsidRPr="005F073D" w:rsidTr="00E34869">
        <w:trPr>
          <w:trHeight w:val="2532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21.20.23.110-00000277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определения концентрации кальция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Кальций (Ca2+) ИВД, набор, спектрофотометрический анализ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количественного определения кальция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calcium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(Ca2+)) в клиническом образце методом спектрофотометрического анализа.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E34869" w:rsidRPr="00346F3B" w:rsidRDefault="00E34869" w:rsidP="003E0CA3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выполняемых тестов: ≥ 400 Штука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34869" w:rsidRPr="00346F3B" w:rsidRDefault="00E34869" w:rsidP="003E0CA3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Назначение: Для анализаторов открытого типа и ручной постановки</w:t>
            </w: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Метод: унифицированный колориметрический с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о-крезолфталеин-комплексоном</w:t>
            </w:r>
            <w:proofErr w:type="spellEnd"/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Анализируемый образец: Сыворотка, плазма крови 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Состав набора: 1.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Моноэтаноламин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2. Хромоген: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о-крезолфталеин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комплексон; 8-гидроксиквинолин. 3. Калибратор CaCl2. Фасовка: реагент 1 - 1х50 мл, реагент 2 - 1х50 мл, калибратор - 1х2 мл.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 не менее 10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4206DB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4869" w:rsidRPr="005F073D" w:rsidTr="00E34869">
        <w:trPr>
          <w:trHeight w:val="3665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21.20.23.110-00009552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выявления специфических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кардиомаркеров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Тропонин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ИВД, набор,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иммунохроматографический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анализ, экспресс-анализ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качественного и/или количественного определения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тропонинп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troponin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I) в клиническом образце в течение короткого периода, по сравнению со стандартными процедурами лабораторных испытаний, с использованием метода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анализа. Этот тест обычно используется для лабораторных анализов или исследований по месту лечения.</w:t>
            </w:r>
          </w:p>
        </w:tc>
        <w:tc>
          <w:tcPr>
            <w:tcW w:w="2337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выполняемых тестов: ≥ 20 (</w:t>
            </w: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;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Назначение: Для ручной постановки анализа.</w:t>
            </w: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выполняемых тестов: ≥ 20 (</w:t>
            </w: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;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Назначение: Для ручной постановки анализа.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Метод: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иммунохроматография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Анализируемый образец: сыворотка, плазма, цельной крови Чувствительность-  0,5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/мл.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набора:</w:t>
            </w:r>
          </w:p>
          <w:p w:rsidR="00E34869" w:rsidRPr="00346F3B" w:rsidRDefault="00E34869" w:rsidP="003E0CA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Планшет с </w:t>
            </w: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тест-полоской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не менее 20 шт.</w:t>
            </w:r>
          </w:p>
          <w:p w:rsidR="00E34869" w:rsidRDefault="00E34869" w:rsidP="003E0CA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Буфер для разведения образца  </w:t>
            </w:r>
          </w:p>
          <w:p w:rsidR="00E34869" w:rsidRPr="00346F3B" w:rsidRDefault="00E34869" w:rsidP="003E0CA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годности:  не  менее 9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4206DB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4869" w:rsidRPr="005F073D" w:rsidTr="00E34869">
        <w:trPr>
          <w:trHeight w:val="1964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21.20.23.110/КТРУ отсутствует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определения концентрации общего и прямого билирубина в сыворотке крови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Метод: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Йендраш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ика-Грофа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конечной точке.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Анализируемый образец:  Сыворотка крови.</w:t>
            </w:r>
          </w:p>
          <w:p w:rsidR="00E34869" w:rsidRPr="001A1AD0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>лина волны: 535 нм (500-560 нм).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Линейность (диапазонный показатель): от 8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/л до 400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/л. </w:t>
            </w:r>
          </w:p>
          <w:p w:rsidR="00E34869" w:rsidRPr="001A1AD0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Чувствительность: не более 5,0 </w:t>
            </w:r>
            <w:proofErr w:type="spellStart"/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>/л.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Состав: 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Реагент 1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(Кофеиновый реагент): кофеин;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бензоат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натрия; натрий уксуснокислый;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A1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Реагент 2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(Сульфаниловая кислота): сульфаниловая кислота; соляная кислота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;.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End"/>
            <w:r w:rsidRPr="001A1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Реагент 3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(Натрия нитрит):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A1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Реагент 4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(Физиологический раствор):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NaCl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Калибратор: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лиофилиза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концентрация билирубина после растворения в 1 мл - 171 </w:t>
            </w:r>
            <w:proofErr w:type="spellStart"/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>/л.</w:t>
            </w:r>
          </w:p>
          <w:p w:rsidR="00E34869" w:rsidRPr="00B55C5D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C5D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асовка</w:t>
            </w:r>
            <w:r w:rsidRPr="00B55C5D">
              <w:rPr>
                <w:rFonts w:ascii="Times New Roman" w:eastAsia="Times New Roman" w:hAnsi="Times New Roman" w:cs="Times New Roman"/>
                <w:sz w:val="18"/>
                <w:szCs w:val="18"/>
              </w:rPr>
              <w:t>: не менее 500 мл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годности:  не  менее 9 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4869" w:rsidRPr="005F073D" w:rsidTr="00E34869">
        <w:trPr>
          <w:trHeight w:val="2259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21.20.23.110-00000901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протромбинового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времени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Протромбиновое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время (ПВ) ИВД, набор, анализ образования сгустка, экспресс-анализ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протромбинового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времени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prothrombin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time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(PT)) в клиническом образце, с или без стандартизации относительно международного стандартизованного отношения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normalized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ratio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(INR)) за короткое время по сравнению со стандартными лабораторными процедурами исследований методом анализа образования сгустка. Этот тест обычно используется для анализов в лаборатории или вне лаборатории. </w:t>
            </w:r>
          </w:p>
        </w:tc>
        <w:tc>
          <w:tcPr>
            <w:tcW w:w="2337" w:type="dxa"/>
          </w:tcPr>
          <w:p w:rsidR="00E34869" w:rsidRPr="001267BF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7BF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выполняемых тестов: ≥720 (</w:t>
            </w:r>
            <w:proofErr w:type="spellStart"/>
            <w:proofErr w:type="gramStart"/>
            <w:r w:rsidRPr="001267B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1267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; </w:t>
            </w:r>
          </w:p>
          <w:p w:rsidR="00E34869" w:rsidRPr="001267BF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7BF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Назначение: Для ручной постановки анализа</w:t>
            </w:r>
            <w:proofErr w:type="gramStart"/>
            <w:r w:rsidRPr="001267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Назначение: набор реагентов должен быть предназначен  для определения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протромбинового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времени,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протромбинового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отношения,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протромбинового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индекса, протромбина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Квику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МНО в капиллярной крови. </w:t>
            </w:r>
          </w:p>
          <w:p w:rsidR="00E34869" w:rsidRPr="00992A95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A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 набора: </w:t>
            </w:r>
            <w:proofErr w:type="spellStart"/>
            <w:r w:rsidRPr="00992A95">
              <w:rPr>
                <w:rFonts w:ascii="Times New Roman" w:eastAsia="Times New Roman" w:hAnsi="Times New Roman" w:cs="Times New Roman"/>
                <w:sz w:val="18"/>
                <w:szCs w:val="18"/>
              </w:rPr>
              <w:t>Ренампластин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лиофильно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высушенный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тромбопластиновый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реагент из мозга кроликов с добавлением кальция</w:t>
            </w:r>
            <w:r w:rsidRPr="00992A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не менее 9 флаконов по не менее 4 мл, консервант для капиллярной крови (концентрат)  - не менее  1 </w:t>
            </w:r>
            <w:proofErr w:type="spellStart"/>
            <w:r w:rsidRPr="00992A95">
              <w:rPr>
                <w:rFonts w:ascii="Times New Roman" w:eastAsia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992A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по не менее 5 мл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Остаточный срок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годности не менее 9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месяцев.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4206DB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4869" w:rsidRPr="005F073D" w:rsidTr="00E34869">
        <w:trPr>
          <w:trHeight w:val="2855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7BF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21.20.23.110-00002532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Натрий лимоннокислый (цитрат натрия)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трехзамещенный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Стабилизация образца реагент ИВД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Вещество или реактив, предназначенный для использования отдельно или в комбинации с другими изделиями для ИВД для предотвращения деградации чувствительных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(например, гормонов, белков или пептидов) в клиническом образце во время транспортирования, хранения или подготовки. Стабилизатор обычно является растворителем, антиоксидантом или ингибитором ферментов.</w:t>
            </w:r>
          </w:p>
        </w:tc>
        <w:tc>
          <w:tcPr>
            <w:tcW w:w="2337" w:type="dxa"/>
          </w:tcPr>
          <w:p w:rsidR="00E34869" w:rsidRPr="001267BF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7BF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Назначение: для анализаторов открытого типа и ручной постановки.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7B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реагента: ≥ 60 мл.</w:t>
            </w: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Реагент должен быть предназначен для приготовления стабилизатора крови.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Состав: 3-х замещенный, 5,5-водный, 38%-ый раствор (1,1 М) цитрата натрия.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 набора: не менее 6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не менее 10 мл.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 не менее 9  месяцев.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4206DB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4869" w:rsidRPr="005F073D" w:rsidTr="00E34869">
        <w:trPr>
          <w:trHeight w:val="2692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32.50.50.190-00002840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Наконечник полимерный одноразовый к дозаторам пипеточным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Наконечник пипетки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в форме заостренной цилиндрической насадки, прикрепляемой к выходному отверстию пипетки или дозатора для переноса требуемого объема жидкости в необходимую емкость. На изделии может быть нанесена градуированная шкала; изделие, как правило, изготавливается из пластика, но может также изготавливаться из стекла. Это изделие для одноразового использования.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337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Диапазон дозирования: 100 - 1000 мкл 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 - полипропилен.</w:t>
            </w:r>
          </w:p>
          <w:p w:rsidR="00BA7CCD" w:rsidRPr="00346F3B" w:rsidRDefault="00BA7CCD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 шт.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 не менее 10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BA7CCD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BA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34869" w:rsidRPr="005F073D" w:rsidTr="00E34869">
        <w:trPr>
          <w:trHeight w:val="2814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32.50.50.190-00002840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Наконечник для дозатора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Наконечник пипетки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в форме заостренной цилиндрической насадки, прикрепляемой к выходному отверстию пипетки или дозатора для переноса требуемого объема жидкости в необходимую емкость. На изделии может быть нанесена градуированная шкала; изделие, как правило, изготавливается из пластика, но может также изготавливаться из стекла. Это изделие для одноразового использования.</w:t>
            </w:r>
          </w:p>
        </w:tc>
        <w:tc>
          <w:tcPr>
            <w:tcW w:w="2337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Диапазон дозирования: 5000 мкл 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 - полипропилен.</w:t>
            </w:r>
          </w:p>
          <w:p w:rsidR="00BA7CCD" w:rsidRPr="00346F3B" w:rsidRDefault="00BA7CCD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 не менее 10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BA7CCD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BA7CCD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869" w:rsidRPr="005F073D" w:rsidTr="00E34869">
        <w:trPr>
          <w:trHeight w:val="560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E34869" w:rsidRPr="00EA2BB3" w:rsidRDefault="00C068D8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="00E34869" w:rsidRPr="00EA2BB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21.20.23.110-00002526</w:t>
              </w:r>
            </w:hyperlink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A10CAE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качественного и полуколичественного определения содержания </w:t>
            </w: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белка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C-реактивный белок (СРБ) ИВД, набор, реакция агглютинации, экспресс-анализ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качестве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нного и полу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количественного определения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С-реактивного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белка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C-reactive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protein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(CRP)) в клиническом образце методом агглютинации. C-реактивный белок является маркером, 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связанным с бактериальными инфекциями и воспалительными процессами в организме.</w:t>
            </w:r>
          </w:p>
        </w:tc>
        <w:tc>
          <w:tcPr>
            <w:tcW w:w="2337" w:type="dxa"/>
          </w:tcPr>
          <w:p w:rsidR="00E34869" w:rsidRPr="001A1AD0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выполняемых тестов</w:t>
            </w:r>
          </w:p>
          <w:p w:rsidR="00E34869" w:rsidRPr="001267B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>≥ 100</w:t>
            </w:r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Штука</w:t>
            </w:r>
          </w:p>
          <w:p w:rsidR="00E34869" w:rsidRPr="001267B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7BF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</w:t>
            </w:r>
          </w:p>
          <w:p w:rsidR="00E34869" w:rsidRPr="001267B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67BF">
              <w:rPr>
                <w:rFonts w:ascii="Times New Roman" w:eastAsia="Times New Roman" w:hAnsi="Times New Roman" w:cs="Times New Roman"/>
                <w:sz w:val="18"/>
                <w:szCs w:val="18"/>
              </w:rPr>
              <w:t>Для ручной постановки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8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Анализируемый образец: сыворотка крови.</w:t>
            </w:r>
          </w:p>
          <w:p w:rsidR="00E34869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Метод: </w:t>
            </w: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латекс-агглютинации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Требуемое количество тестов не менее 250</w:t>
            </w:r>
          </w:p>
          <w:p w:rsidR="00E34869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 набора: 1.СРБ латекс – не менее 5мл.; 2.Тест-пластина - 1шт.; 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 не менее 10 месяцев</w:t>
            </w:r>
          </w:p>
          <w:p w:rsidR="00E34869" w:rsidRPr="0070578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4869" w:rsidRPr="005F073D" w:rsidTr="00E34869">
        <w:trPr>
          <w:trHeight w:val="1995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21.20.23.110-00007526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качественного и полуколичественного определения содержания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ревматоидного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фактора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>Ревматоидный</w:t>
            </w:r>
            <w:proofErr w:type="spellEnd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фактор ИВД, набор, реакция агглютинации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качественного и/или количественного определения иммуноглобулинов </w:t>
            </w:r>
            <w:proofErr w:type="spellStart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>ревматоидного</w:t>
            </w:r>
            <w:proofErr w:type="spellEnd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фактора в клиническом образце с использованием метода реакции агглютинации.</w:t>
            </w:r>
          </w:p>
        </w:tc>
        <w:tc>
          <w:tcPr>
            <w:tcW w:w="2337" w:type="dxa"/>
          </w:tcPr>
          <w:p w:rsidR="00E34869" w:rsidRPr="000310A0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выполняемых тестов: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≥</w:t>
            </w:r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250 Штука</w:t>
            </w:r>
            <w:proofErr w:type="gramStart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328" w:type="dxa"/>
          </w:tcPr>
          <w:p w:rsidR="00E34869" w:rsidRPr="00D57CA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должен быть предназначен  для качественного и полуколичественного экспресс - определения содержания  </w:t>
            </w:r>
            <w:proofErr w:type="spellStart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>ревматоидного</w:t>
            </w:r>
            <w:proofErr w:type="spellEnd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фактора. Анализируемый образец: сыворотка крови.</w:t>
            </w:r>
          </w:p>
          <w:p w:rsidR="00E34869" w:rsidRPr="00D57CA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Метод: латекс </w:t>
            </w:r>
            <w:proofErr w:type="gramStart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гглютинации. </w:t>
            </w:r>
          </w:p>
          <w:p w:rsidR="00E34869" w:rsidRPr="00D57CA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 набора: </w:t>
            </w:r>
          </w:p>
          <w:p w:rsidR="00E34869" w:rsidRPr="00D57CA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РФ латекс – не менее 5мл.; </w:t>
            </w:r>
          </w:p>
          <w:p w:rsidR="00E34869" w:rsidRPr="00D57CA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>2. Тест-пластина – не менее 1шт.;</w:t>
            </w:r>
          </w:p>
          <w:p w:rsidR="00E34869" w:rsidRPr="00D57CA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0310A0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57CA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 не менее 10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869" w:rsidRPr="005F073D" w:rsidTr="00E34869">
        <w:trPr>
          <w:trHeight w:val="547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32.50.50.190-00000050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Дозаторы пипеточные  переменного объема 100-1000 мкл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Пипетка механическая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Ручное устройство, как правило, лабораторного использования для взятия и переноса фиксированных объемов жидкости. Пользователь обычно держит изделие в руке, приводит в действие, запуская встроенный механизм всасывания жидкости нажатием пальца, при возникновении разрежения воздуха при отпускании пальца. Пипетка может иметь один или несколько </w:t>
            </w: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цилиндро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/поршневых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каналов. Заданный объем жидкости может быть перенесен в одну или несколько ёмкостей одновременно, например, лунки планшетов для микротитрования. Пипетка может иметь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заводскую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предустановку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фиксированный объем или сменный, настраиваемый пользователем избранный объем в пределах объемов, установленных для каждой конкретной пипетки. Дозируемый объём может указываться на цифровом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дисплее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цифровом дисплее.</w:t>
            </w:r>
          </w:p>
        </w:tc>
        <w:tc>
          <w:tcPr>
            <w:tcW w:w="2337" w:type="dxa"/>
          </w:tcPr>
          <w:p w:rsidR="00E34869" w:rsidRPr="00265DEC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Одноканальные дозаторы переменного объема.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Диапазон дозирования: 100-1000 мкл;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годности: не менее 8  месяцев.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869" w:rsidRPr="005F073D" w:rsidTr="00E34869">
        <w:trPr>
          <w:trHeight w:val="2720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32.50.50.190-00002840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Наконечник универсальный для пипеточных дозаторов 250 мкл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Наконечник пипетки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Изделие в форме заостренной цилиндрической насадки, прикрепляемой к выходному отверстию пипетки или дозатора для переноса требуемого объема жидкости в необходимую емкость. На изделии может быть нанесена градуированная шкала; изделие, как правило, изготавливается из пластика, но может также изготавливаться из стекла. Это изделие для одноразового использования.</w:t>
            </w:r>
          </w:p>
        </w:tc>
        <w:tc>
          <w:tcPr>
            <w:tcW w:w="2337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Диапазон дозирования: 0,5-250  мкл;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- полипропилен.</w:t>
            </w:r>
          </w:p>
          <w:p w:rsidR="00BA7CCD" w:rsidRPr="00346F3B" w:rsidRDefault="00BA7CCD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1000шт/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годности: не менее 10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BA7CCD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BA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869" w:rsidRPr="005F073D" w:rsidTr="00E34869">
        <w:trPr>
          <w:trHeight w:val="2815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32.50.13.190-00007515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Скарификатор-копье для прокалывания кожи пальца, одноразовый, стерильный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Скарификатор неавтоматический, одноразового использования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Стерильный ручной немеханический похожий на скальпель инструмент с заостренным концом, предназначенный для использования медицинским работником для прокола кожи пациента вручную с целью забора небольшого образца крови или дренирования кист или фурункулов. Это изделие для одноразового использования.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Скарификатор  с боковым копьем стерильный однократного применения, индивидуально упакованный. 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Длина копья - 3 мм; общая длина скарификатора - 30 мм, толщина - 1 мм. 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- нержавеющая сталь.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Остаточный срок годности:  не менее 10 месяцев 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E34869" w:rsidRPr="005F073D" w:rsidTr="00E34869">
        <w:trPr>
          <w:trHeight w:val="830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21.20.23.110-00000100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индикаторные для качественного и полуколичественного определения, глюкозы, белка, кетоновых тел,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моче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Множественные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аналиты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мочи ИВД, набор, колориметрический экспресс-анализ, клинический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качественного и/или полуколичественного определения множества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мочи за короткое время по сравнению со стандартными лабораторными процедурами исследований методом колориметрического экспресс-анализа. Этот экспресс-тест обычно используется в лабораторных анализах или анализах вблизи пациента для скрининга немикробных маркеров, связанных с инфекцией мочевыводящих путей (ИМП) [например, лейкоцитов, крови, нитритов, белков]. Не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предназначен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самотестирования.</w:t>
            </w:r>
          </w:p>
        </w:tc>
        <w:tc>
          <w:tcPr>
            <w:tcW w:w="2337" w:type="dxa"/>
          </w:tcPr>
          <w:p w:rsidR="00E34869" w:rsidRPr="006E1FD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выполняемых тестов</w:t>
            </w:r>
          </w:p>
          <w:p w:rsidR="00E34869" w:rsidRPr="0070578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78F">
              <w:rPr>
                <w:rFonts w:ascii="Times New Roman" w:eastAsia="Times New Roman" w:hAnsi="Times New Roman" w:cs="Times New Roman"/>
                <w:sz w:val="18"/>
                <w:szCs w:val="18"/>
              </w:rPr>
              <w:t>≥ 100</w:t>
            </w:r>
            <w:r w:rsidRPr="0070578F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Штука</w:t>
            </w:r>
          </w:p>
          <w:p w:rsidR="00E34869" w:rsidRPr="006E1FD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Качественный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E34869" w:rsidRPr="006E1FD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Полуколичественный</w:t>
            </w:r>
          </w:p>
          <w:p w:rsidR="00E34869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>Для ручной постановки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Определяемые параметры:  глюкоза, белок, кетоновые тела,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моче. 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7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Упаковка - не менее 100 штук </w:t>
            </w:r>
            <w:proofErr w:type="spellStart"/>
            <w:proofErr w:type="gramStart"/>
            <w:r w:rsidRPr="0070578F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ест-полосок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A7CCD" w:rsidRPr="00346F3B" w:rsidRDefault="00BA7CCD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100шт/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годности: не менее 10 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BA7CCD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34869" w:rsidRPr="005F073D" w:rsidTr="00E34869">
        <w:trPr>
          <w:trHeight w:val="688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32.50.50.000-00000373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Устройство для исследования проб крови  с К3ЭДТА.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Пробирка для сбора образцов крови не вакуумная ИВД, с K3EDTA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вакуумная нестерильная стеклянная или пластиковая пробирка, закрытая заглушкой, содержащая антикоагулянт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трикалий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этилендиаминтетрауксусную кислоту (K3EDTA).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Предназначена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использования при взятии и консервации и/или транспортировании капиллярной крови для анализа и/или другого исследования [например, для гематологии цельной крови, в частности, общего анализа крови (СВС) и количественного определения содержания в крови лекарственных средств.]. Это изделие для одноразового использования.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</w:tcPr>
          <w:p w:rsidR="00E34869" w:rsidRPr="006E1FD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Исполнение: с устойчивым основанием</w:t>
            </w:r>
          </w:p>
          <w:p w:rsidR="00E34869" w:rsidRPr="006E1FD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 упаковке ≤100 </w:t>
            </w:r>
            <w:proofErr w:type="spellStart"/>
            <w:proofErr w:type="gramStart"/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:rsidR="00E34869" w:rsidRPr="006E1FDF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капилляра да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FD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0,2 мл</w:t>
            </w: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 пробирки не более 46 мм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Диаметр пробирки не более 9 мм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Реагент пробирки K3 EDTA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Капилляр интегрированный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крышек на пробирке: не менее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1)специальная резьбовая крышка для фиксации коллектора для взятия крови и 2)прокалываемая резьбовая крышка, обеспечивающая герметичное закрывание пробирки и проведение исследования на автоматических анализаторах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 необходимости снятия крышки)</w:t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точный срок годности не менее 8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месяцев.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6E1FDF" w:rsidRDefault="00BA7CCD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34869" w:rsidRPr="005F073D" w:rsidTr="00E34869">
        <w:trPr>
          <w:trHeight w:val="6925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32.50.50.000-00001214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Пробирка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центрифужная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Контейнер лабораторный общего назначения, многоразового использования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"Контейнер (например, пробирка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,), 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предназначенный для использования в качестве неспециализированной емкости для расходных лабораторных веществ (например, реагентов, буферных растворов), биологических образцов и других материалов, используемых в процедурах анализа в лаборатории; изделие не предназначено для использования в процедурах диагностики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Изделие устойчиво к воздействию экстремально высоких температур (например, к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автоклавированию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что позволяет его неоднократно стерилизовать. Как правило, изготавливается из устойчивого к высоким температурам пластика или стекла и может использоваться либо на столе при проведении процедур вручную, либо в автоматических приборах для обработки жидкостей или анализаторах (например, для тканевой культуры). Это изделие, пригодное для многоразового использования. </w:t>
            </w:r>
          </w:p>
        </w:tc>
        <w:tc>
          <w:tcPr>
            <w:tcW w:w="2337" w:type="dxa"/>
          </w:tcPr>
          <w:p w:rsidR="00E34869" w:rsidRPr="008A7D31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7D31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Высота: ≥ 80  и  ≤ 150 мм</w:t>
            </w:r>
          </w:p>
          <w:p w:rsidR="00E34869" w:rsidRPr="008A7D31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7D31">
              <w:rPr>
                <w:rFonts w:ascii="Times New Roman" w:eastAsia="Times New Roman" w:hAnsi="Times New Roman" w:cs="Times New Roman"/>
                <w:sz w:val="18"/>
                <w:szCs w:val="18"/>
              </w:rPr>
              <w:t>Градуировка: Нет</w:t>
            </w:r>
            <w:r w:rsidRPr="008A7D3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E34869" w:rsidRPr="008A7D31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7D31">
              <w:rPr>
                <w:rFonts w:ascii="Times New Roman" w:eastAsia="Times New Roman" w:hAnsi="Times New Roman" w:cs="Times New Roman"/>
                <w:sz w:val="18"/>
                <w:szCs w:val="18"/>
              </w:rPr>
              <w:t>Диаметр:  ≥ 14  и  ≤ 23 мм</w:t>
            </w:r>
          </w:p>
          <w:p w:rsidR="00E34869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7D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Исполнение: </w:t>
            </w:r>
            <w:proofErr w:type="gramStart"/>
            <w:r w:rsidRPr="008A7D31">
              <w:rPr>
                <w:rFonts w:ascii="Times New Roman" w:eastAsia="Times New Roman" w:hAnsi="Times New Roman" w:cs="Times New Roman"/>
                <w:sz w:val="18"/>
                <w:szCs w:val="18"/>
              </w:rPr>
              <w:t>Конические без пробки</w:t>
            </w:r>
            <w:proofErr w:type="gramEnd"/>
          </w:p>
          <w:p w:rsidR="00E34869" w:rsidRPr="008A7D31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7D31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контейнера: Стекло</w:t>
            </w:r>
            <w:r w:rsidRPr="008A7D3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7D3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Объем:  10 мл</w:t>
            </w: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точный срок годности не менее 10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месяцев.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E34869" w:rsidRPr="005F073D" w:rsidTr="00E34869">
        <w:trPr>
          <w:trHeight w:val="3948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21.20.23.110-00001635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клинического анализа мокроты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Множественные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аналиты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мокроты ИВД, набор, метод окрашивания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качественного и/или полуколичественного определения множества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клиническом анализе мокроты методом микроскопического исследования окрашенных препаратов. Определяемые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аналиты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могут включать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кислоустойчивые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бактерии рода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Mycobacterium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, альвеолярные макрофаги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alveolar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macrophage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), клетки, характерные для воспалительных и злокачественных процессов в легких.</w:t>
            </w:r>
          </w:p>
        </w:tc>
        <w:tc>
          <w:tcPr>
            <w:tcW w:w="2337" w:type="dxa"/>
          </w:tcPr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выполняемых тестов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≥ 100</w:t>
            </w: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Штука</w:t>
            </w:r>
          </w:p>
        </w:tc>
        <w:tc>
          <w:tcPr>
            <w:tcW w:w="3328" w:type="dxa"/>
          </w:tcPr>
          <w:p w:rsidR="00E34869" w:rsidRPr="00346F3B" w:rsidRDefault="00E34869" w:rsidP="003E0C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 набора: карболовый фуксин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Циля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солянокислый спирт  концентрат, метиленовый синий, калий железосинеродистый, кислота соляная, раствор по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Май-Грюнвальду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азур-эозин по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Романовскому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фосфатный буфер, концентрат. </w:t>
            </w:r>
          </w:p>
          <w:p w:rsidR="00E34869" w:rsidRPr="00346F3B" w:rsidRDefault="00E34869" w:rsidP="003E0C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 не менее 10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BA7CCD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869" w:rsidRPr="005F073D" w:rsidTr="00E34869">
        <w:trPr>
          <w:trHeight w:val="3678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21.20.23.110-00001637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клинического анализа кала 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Множественные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аналиты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кала ИВД, набор, метод окрашивания.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качественного и/или полуколичественного определения множества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клиническом анализе кала методом окрашивания. Определяемые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аналиты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могут включать скрытую кровь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occult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blood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), билирубин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bilirubin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стеркобилин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stercobilin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), фекальные жиры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faecal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fat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), яйца гельминтов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helminth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). Набор может содержать консервант для хранения и транспортировки образцов.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выполняемых тестов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≥ 2000</w:t>
            </w: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Штука</w:t>
            </w: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предназначен для  анализа обнаружения скрытой крови,  определения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стеркобилина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определения билирубина и для проведения микроскопического анализа кала. </w:t>
            </w:r>
          </w:p>
          <w:p w:rsidR="00E34869" w:rsidRPr="00346F3B" w:rsidRDefault="00E34869" w:rsidP="003E0CA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Состав: 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бензидин</w:t>
            </w:r>
            <w:proofErr w:type="spellEnd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уксусная кислота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50 %, 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реактив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Фуше,реактив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Судан 3, реактив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Люголя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глицерин, метиленовый синий,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гидроперит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таблетках , цинк уксуснокислый уксусная кислота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30%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4869" w:rsidRPr="00346F3B" w:rsidRDefault="00E34869" w:rsidP="003E0CA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на момент поставки - не менее 10  месяцев.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BA7CCD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869" w:rsidRPr="005F073D" w:rsidTr="00E34869">
        <w:trPr>
          <w:trHeight w:val="3665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21.20.23.110-00005861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для определения фекальных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биомаркеров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(гемоглобина)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Скрытая кровь в кале ИВД, набор,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иммунохроматографический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анализ, экспресс-анализ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качественного и/или количественного скрининга кала (фекалий) на скрытую кровь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occult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blood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) (гемоглобин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haemoglobin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)) за короткое время по сравнению со стандартными лабораторными процедурами исследований методом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анализа. Этот тест обычно используется в лабораторных анализах или анализах вблизи пациента.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337" w:type="dxa"/>
          </w:tcPr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34869" w:rsidRPr="00881925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выполняемых тестов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≥ 1</w:t>
            </w: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Штука</w:t>
            </w:r>
          </w:p>
          <w:p w:rsidR="00E34869" w:rsidRPr="000B21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B216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Специфичен по отношению к гемоглобину и комплексу гемоглобин/</w:t>
            </w:r>
            <w:proofErr w:type="spellStart"/>
            <w:r w:rsidRPr="000B2169">
              <w:rPr>
                <w:rFonts w:ascii="Times New Roman" w:eastAsia="Times New Roman" w:hAnsi="Times New Roman" w:cs="Times New Roman"/>
                <w:sz w:val="18"/>
                <w:szCs w:val="18"/>
              </w:rPr>
              <w:t>гаптоглобин</w:t>
            </w:r>
            <w:proofErr w:type="spellEnd"/>
            <w:r w:rsidRPr="000B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0B21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ет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Чувствительность определения гемоглобина не  менее 50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/мл..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Состав набора:  1. планшет индикаторный, упакованный в индивидуальную вакуумную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упаковку из фольги алюминиевой с осушителем - 1 </w:t>
            </w: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2. пробирка с реагентом для разведения образца и аппликатором для отбора      пробы кала.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Остаточный срок на момент поставки - не менее 10  месяцев.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BA7CCD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E34869" w:rsidRPr="005F073D" w:rsidTr="00E34869">
        <w:trPr>
          <w:trHeight w:val="2484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21.20.23.110/ код КТРУ отсутствует</w:t>
            </w:r>
          </w:p>
        </w:tc>
        <w:tc>
          <w:tcPr>
            <w:tcW w:w="1916" w:type="dxa"/>
            <w:shd w:val="clear" w:color="auto" w:fill="auto"/>
          </w:tcPr>
          <w:p w:rsidR="00E34869" w:rsidRPr="00346F3B" w:rsidRDefault="00E34869" w:rsidP="003E0CA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ПКГ-03  (к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глюкометру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"Сателлит Экспресс")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электрохимические однократного применения ПКГ-03 "Сателлит экспресс". </w:t>
            </w:r>
            <w:proofErr w:type="gramEnd"/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Используются для контроля уровня глюкозы в капиллярной крови человека.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Диапазон измерения глюкозы от 0,6 до 35.0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/л. 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Упаковка - не менее 50 штук </w:t>
            </w: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тест-полосок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годности: не менее 10 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869" w:rsidRPr="005F073D" w:rsidTr="00E34869">
        <w:trPr>
          <w:trHeight w:val="4955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21.20.23.110-00006060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индикаторные определения параметров мочи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Микроальбумин</w:t>
            </w:r>
            <w:proofErr w:type="spell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ИВД, набор, </w:t>
            </w:r>
            <w:proofErr w:type="spell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иммунохроматографический</w:t>
            </w:r>
            <w:proofErr w:type="spell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анализ, экспресс-анализ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качественного и/или количественного определения </w:t>
            </w:r>
            <w:proofErr w:type="spell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микроальбумина</w:t>
            </w:r>
            <w:proofErr w:type="spell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microalbumin</w:t>
            </w:r>
            <w:proofErr w:type="spell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в клиническом образце за короткое время по сравнению со стандартными лабораторными процедурами исследований методом </w:t>
            </w:r>
            <w:proofErr w:type="spell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анализа. Этот тест обычно используется в лабораторных анализах или анализах вблизи пациента с целью быстрого определения малых количеств альбумина в моче в качестве индикатора заболеваний почек, известных как умеренно повышенная альбуминурия или </w:t>
            </w:r>
            <w:proofErr w:type="spell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микроальбуминурия</w:t>
            </w:r>
            <w:proofErr w:type="spell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Не </w:t>
            </w:r>
            <w:proofErr w:type="gram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предназначен</w:t>
            </w:r>
            <w:proofErr w:type="gram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самотестирования</w:t>
            </w:r>
          </w:p>
        </w:tc>
        <w:tc>
          <w:tcPr>
            <w:tcW w:w="2337" w:type="dxa"/>
          </w:tcPr>
          <w:p w:rsidR="00E34869" w:rsidRPr="00DA025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выполняемых тестов</w:t>
            </w:r>
          </w:p>
          <w:p w:rsidR="00E34869" w:rsidRPr="00DA025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≥ 30</w:t>
            </w: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Штука</w:t>
            </w:r>
          </w:p>
          <w:p w:rsidR="00E34869" w:rsidRPr="00DA025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</w:t>
            </w:r>
          </w:p>
          <w:p w:rsidR="00E34869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Для ручной постановки анализа</w:t>
            </w: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8" w:type="dxa"/>
          </w:tcPr>
          <w:p w:rsidR="00E34869" w:rsidRPr="00DA0259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должны быть  предназначены для полуколичественного измерения  </w:t>
            </w:r>
            <w:proofErr w:type="spell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микроальбинурии</w:t>
            </w:r>
            <w:proofErr w:type="spell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4869" w:rsidRPr="00DA0259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Анализируемый образец: моча. </w:t>
            </w:r>
          </w:p>
          <w:p w:rsidR="00E34869" w:rsidRPr="00DA0259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Определяемые параметры: альбумин, </w:t>
            </w:r>
            <w:proofErr w:type="spell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креатинин</w:t>
            </w:r>
            <w:proofErr w:type="spell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34869" w:rsidRPr="00DA0259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Диапазон измерений: Альбумин: от 0,01-5,0 г/л, </w:t>
            </w:r>
          </w:p>
          <w:p w:rsidR="00E34869" w:rsidRPr="00DA0259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Креатинин</w:t>
            </w:r>
            <w:proofErr w:type="spell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от  0,9-26,5 </w:t>
            </w:r>
            <w:proofErr w:type="spell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/л</w:t>
            </w:r>
          </w:p>
          <w:p w:rsidR="00E34869" w:rsidRPr="00DA0259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Фасовка - не менее 50 тес</w:t>
            </w:r>
            <w:proofErr w:type="gramStart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DA02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полосок в наборе.</w:t>
            </w:r>
          </w:p>
          <w:p w:rsidR="00E34869" w:rsidRPr="001A1AD0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1AD0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на момент поставки - не менее 6  месяцев.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BA7CCD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869" w:rsidRPr="005F073D" w:rsidTr="00E34869">
        <w:trPr>
          <w:trHeight w:val="2690"/>
        </w:trPr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32.50.50.000-00002396</w:t>
            </w:r>
          </w:p>
        </w:tc>
        <w:tc>
          <w:tcPr>
            <w:tcW w:w="1916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Стекло предметное</w:t>
            </w:r>
          </w:p>
        </w:tc>
        <w:tc>
          <w:tcPr>
            <w:tcW w:w="1842" w:type="dxa"/>
            <w:shd w:val="clear" w:color="auto" w:fill="auto"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Предметное стекло/слайд для микроскопии ИВД</w:t>
            </w:r>
          </w:p>
        </w:tc>
        <w:tc>
          <w:tcPr>
            <w:tcW w:w="2835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Стеклянная пластинка для микроскопии (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microscopy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slide</w:t>
            </w:r>
            <w:proofErr w:type="spellEnd"/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), предназначенная для использования при сборе, хранении и/или транспортировке клинических образцов любого типа или мазков для анализа и/или других исследований. Это изделие для одноразового использования.</w:t>
            </w: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337" w:type="dxa"/>
          </w:tcPr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Адгезивное</w:t>
            </w:r>
            <w:proofErr w:type="spellEnd"/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покрытие: Нет </w:t>
            </w:r>
          </w:p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печати: Нет</w:t>
            </w:r>
            <w:proofErr w:type="gramStart"/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Длина: 76 (мм).</w:t>
            </w:r>
          </w:p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Зона для маркировки: Нет.</w:t>
            </w:r>
          </w:p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Исполнение: Гладкое </w:t>
            </w:r>
          </w:p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 упаковке: Неважно.</w:t>
            </w:r>
          </w:p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Матирование: Нет.</w:t>
            </w:r>
          </w:p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кромки: Обрезная.</w:t>
            </w:r>
          </w:p>
          <w:p w:rsidR="00E34869" w:rsidRPr="00355271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Толщина: 2 (мм).</w:t>
            </w:r>
          </w:p>
          <w:p w:rsidR="00E34869" w:rsidRPr="00346F3B" w:rsidRDefault="00E34869" w:rsidP="003E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271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Ширина: 26 (мм).</w:t>
            </w:r>
          </w:p>
        </w:tc>
        <w:tc>
          <w:tcPr>
            <w:tcW w:w="3328" w:type="dxa"/>
          </w:tcPr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4869" w:rsidRPr="00346F3B" w:rsidRDefault="00E34869" w:rsidP="003E0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Остаточный срок годности не менее 10 месяцев</w:t>
            </w:r>
          </w:p>
        </w:tc>
        <w:tc>
          <w:tcPr>
            <w:tcW w:w="851" w:type="dxa"/>
            <w:shd w:val="clear" w:color="auto" w:fill="auto"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34869" w:rsidRPr="00346F3B" w:rsidRDefault="00E34869" w:rsidP="003E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F3B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</w:tbl>
    <w:p w:rsidR="004F4CE6" w:rsidRDefault="004F4CE6"/>
    <w:sectPr w:rsidR="004F4CE6" w:rsidSect="00DE53C9">
      <w:pgSz w:w="16839" w:h="11907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DD" w:rsidRDefault="002C40DD" w:rsidP="004F4CE6">
      <w:pPr>
        <w:spacing w:after="0" w:line="240" w:lineRule="auto"/>
      </w:pPr>
      <w:r>
        <w:separator/>
      </w:r>
    </w:p>
  </w:endnote>
  <w:endnote w:type="continuationSeparator" w:id="0">
    <w:p w:rsidR="002C40DD" w:rsidRDefault="002C40DD" w:rsidP="004F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DD" w:rsidRDefault="002C40DD" w:rsidP="004F4CE6">
      <w:pPr>
        <w:spacing w:after="0" w:line="240" w:lineRule="auto"/>
      </w:pPr>
      <w:r>
        <w:separator/>
      </w:r>
    </w:p>
  </w:footnote>
  <w:footnote w:type="continuationSeparator" w:id="0">
    <w:p w:rsidR="002C40DD" w:rsidRDefault="002C40DD" w:rsidP="004F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6072"/>
    <w:multiLevelType w:val="hybridMultilevel"/>
    <w:tmpl w:val="FE582DFA"/>
    <w:lvl w:ilvl="0" w:tplc="D23A841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>
    <w:nsid w:val="5F3B2540"/>
    <w:multiLevelType w:val="hybridMultilevel"/>
    <w:tmpl w:val="80B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53C9"/>
    <w:rsid w:val="00115579"/>
    <w:rsid w:val="00121EEC"/>
    <w:rsid w:val="00132EE9"/>
    <w:rsid w:val="002C40DD"/>
    <w:rsid w:val="00321A56"/>
    <w:rsid w:val="00351C51"/>
    <w:rsid w:val="004206DB"/>
    <w:rsid w:val="004D581A"/>
    <w:rsid w:val="004D6A08"/>
    <w:rsid w:val="004F4CE6"/>
    <w:rsid w:val="005E00BF"/>
    <w:rsid w:val="006B1F5A"/>
    <w:rsid w:val="00831046"/>
    <w:rsid w:val="009B11C5"/>
    <w:rsid w:val="00A26593"/>
    <w:rsid w:val="00A31CFC"/>
    <w:rsid w:val="00A5160E"/>
    <w:rsid w:val="00A6772C"/>
    <w:rsid w:val="00B514D3"/>
    <w:rsid w:val="00BA7CCD"/>
    <w:rsid w:val="00BF183A"/>
    <w:rsid w:val="00C068D8"/>
    <w:rsid w:val="00D137D2"/>
    <w:rsid w:val="00D9462F"/>
    <w:rsid w:val="00DE53C9"/>
    <w:rsid w:val="00E34869"/>
    <w:rsid w:val="00EC45E7"/>
    <w:rsid w:val="00F943CE"/>
    <w:rsid w:val="00FC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CE6"/>
  </w:style>
  <w:style w:type="paragraph" w:styleId="a5">
    <w:name w:val="footer"/>
    <w:basedOn w:val="a"/>
    <w:link w:val="a6"/>
    <w:uiPriority w:val="99"/>
    <w:semiHidden/>
    <w:unhideWhenUsed/>
    <w:rsid w:val="004F4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4CE6"/>
  </w:style>
  <w:style w:type="paragraph" w:styleId="a7">
    <w:name w:val="List Paragraph"/>
    <w:basedOn w:val="a"/>
    <w:uiPriority w:val="34"/>
    <w:qFormat/>
    <w:rsid w:val="004F4CE6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115579"/>
    <w:rPr>
      <w:i/>
      <w:iCs/>
    </w:rPr>
  </w:style>
  <w:style w:type="character" w:styleId="a9">
    <w:name w:val="Hyperlink"/>
    <w:basedOn w:val="a0"/>
    <w:uiPriority w:val="99"/>
    <w:semiHidden/>
    <w:unhideWhenUsed/>
    <w:rsid w:val="00321A5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21A56"/>
    <w:rPr>
      <w:color w:val="800080"/>
      <w:u w:val="single"/>
    </w:rPr>
  </w:style>
  <w:style w:type="paragraph" w:customStyle="1" w:styleId="xl65">
    <w:name w:val="xl65"/>
    <w:basedOn w:val="a"/>
    <w:rsid w:val="0032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21A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21A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21A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321A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321A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321A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321A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321A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321A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321A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321A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table" w:styleId="ab">
    <w:name w:val="Table Grid"/>
    <w:basedOn w:val="a1"/>
    <w:uiPriority w:val="59"/>
    <w:rsid w:val="0032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40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87DBA-5189-4462-A9BC-52FD68B1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10</cp:revision>
  <dcterms:created xsi:type="dcterms:W3CDTF">2023-10-31T05:53:00Z</dcterms:created>
  <dcterms:modified xsi:type="dcterms:W3CDTF">2023-12-04T08:39:00Z</dcterms:modified>
</cp:coreProperties>
</file>