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59" w:rsidRDefault="00567F59"/>
    <w:p w:rsidR="000312BD" w:rsidRPr="00E1427B" w:rsidRDefault="000312BD" w:rsidP="000312BD">
      <w:pPr>
        <w:jc w:val="center"/>
        <w:rPr>
          <w:b/>
          <w:sz w:val="28"/>
        </w:rPr>
      </w:pPr>
      <w:r w:rsidRPr="00E1427B">
        <w:rPr>
          <w:b/>
          <w:sz w:val="28"/>
        </w:rPr>
        <w:t>Техническое задание</w:t>
      </w:r>
      <w:r>
        <w:rPr>
          <w:b/>
          <w:sz w:val="28"/>
        </w:rPr>
        <w:t xml:space="preserve"> </w:t>
      </w:r>
      <w:r w:rsidRPr="00E1427B">
        <w:rPr>
          <w:b/>
          <w:sz w:val="28"/>
        </w:rPr>
        <w:t xml:space="preserve">на </w:t>
      </w:r>
      <w:r w:rsidRPr="001E5DB3">
        <w:rPr>
          <w:b/>
          <w:sz w:val="28"/>
          <w:szCs w:val="28"/>
        </w:rPr>
        <w:t xml:space="preserve">поставку </w:t>
      </w:r>
      <w:r w:rsidR="00BD3537">
        <w:rPr>
          <w:b/>
          <w:sz w:val="28"/>
          <w:szCs w:val="28"/>
        </w:rPr>
        <w:t>огурцов маринованных</w:t>
      </w:r>
    </w:p>
    <w:p w:rsidR="000312BD" w:rsidRPr="0085670E" w:rsidRDefault="000312BD" w:rsidP="000312BD">
      <w:pPr>
        <w:ind w:right="-142"/>
        <w:jc w:val="both"/>
        <w:outlineLvl w:val="4"/>
        <w:rPr>
          <w:bCs/>
          <w:snapToGrid w:val="0"/>
        </w:rPr>
      </w:pPr>
      <w:r w:rsidRPr="0085670E">
        <w:rPr>
          <w:b/>
          <w:snapToGrid w:val="0"/>
        </w:rPr>
        <w:t xml:space="preserve">Срок </w:t>
      </w:r>
      <w:r>
        <w:rPr>
          <w:b/>
          <w:snapToGrid w:val="0"/>
        </w:rPr>
        <w:t>действия договора</w:t>
      </w:r>
      <w:r w:rsidRPr="0085670E">
        <w:rPr>
          <w:snapToGrid w:val="0"/>
        </w:rPr>
        <w:t xml:space="preserve">: </w:t>
      </w:r>
      <w:r>
        <w:rPr>
          <w:snapToGrid w:val="0"/>
        </w:rPr>
        <w:t>с моме</w:t>
      </w:r>
      <w:r w:rsidR="00800CD3">
        <w:rPr>
          <w:snapToGrid w:val="0"/>
        </w:rPr>
        <w:t>нта заключения договора до 28.02.2024</w:t>
      </w:r>
      <w:r>
        <w:rPr>
          <w:snapToGrid w:val="0"/>
        </w:rPr>
        <w:t>г.</w:t>
      </w:r>
    </w:p>
    <w:p w:rsidR="00567F59" w:rsidRPr="000312BD" w:rsidRDefault="000312BD" w:rsidP="000312BD">
      <w:pPr>
        <w:pStyle w:val="a4"/>
        <w:rPr>
          <w:i/>
        </w:rPr>
      </w:pPr>
      <w:r w:rsidRPr="0085670E">
        <w:rPr>
          <w:b/>
          <w:color w:val="000000"/>
        </w:rPr>
        <w:t>Место поставки Товара</w:t>
      </w:r>
      <w:r w:rsidRPr="0085670E">
        <w:rPr>
          <w:color w:val="000000"/>
        </w:rPr>
        <w:t xml:space="preserve"> осуществляется по адресу: </w:t>
      </w:r>
      <w:r w:rsidRPr="0085670E">
        <w:t>656038, Россия, Алтайский край</w:t>
      </w:r>
      <w:r>
        <w:t xml:space="preserve">, г. Барнаул, ул. Молодежная, </w:t>
      </w:r>
      <w:proofErr w:type="gramStart"/>
      <w:r>
        <w:t xml:space="preserve">20 </w:t>
      </w:r>
      <w:r>
        <w:rPr>
          <w:color w:val="000000"/>
        </w:rPr>
        <w:t xml:space="preserve"> </w:t>
      </w:r>
      <w:r w:rsidRPr="00523457">
        <w:rPr>
          <w:color w:val="000000"/>
        </w:rPr>
        <w:t>в</w:t>
      </w:r>
      <w:proofErr w:type="gramEnd"/>
      <w:r w:rsidRPr="00523457">
        <w:rPr>
          <w:color w:val="000000"/>
        </w:rPr>
        <w:t xml:space="preserve"> рабочие дни в период с 08:00 до 16:00 по местному времени</w:t>
      </w:r>
      <w:r>
        <w:rPr>
          <w:color w:val="000000"/>
        </w:rPr>
        <w:t>.</w:t>
      </w:r>
      <w:r>
        <w:rPr>
          <w:i/>
        </w:rPr>
        <w:t xml:space="preserve"> </w:t>
      </w:r>
    </w:p>
    <w:p w:rsidR="00CB7A94" w:rsidRDefault="00CB7A94" w:rsidP="00567F59">
      <w:pPr>
        <w:jc w:val="right"/>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1620"/>
        <w:gridCol w:w="1440"/>
        <w:gridCol w:w="1980"/>
        <w:gridCol w:w="2160"/>
        <w:gridCol w:w="1980"/>
        <w:gridCol w:w="1152"/>
        <w:gridCol w:w="1008"/>
      </w:tblGrid>
      <w:tr w:rsidR="007E5CF9" w:rsidRPr="00D5530E" w:rsidTr="000A0B0C">
        <w:tc>
          <w:tcPr>
            <w:tcW w:w="648" w:type="dxa"/>
            <w:vMerge w:val="restart"/>
          </w:tcPr>
          <w:p w:rsidR="007E5CF9" w:rsidRPr="00D5530E" w:rsidRDefault="007E5CF9" w:rsidP="000A0B0C">
            <w:r w:rsidRPr="00D5530E">
              <w:t>№ П/П</w:t>
            </w:r>
          </w:p>
        </w:tc>
        <w:tc>
          <w:tcPr>
            <w:tcW w:w="2160" w:type="dxa"/>
            <w:vMerge w:val="restart"/>
          </w:tcPr>
          <w:p w:rsidR="007E5CF9" w:rsidRPr="00D5530E" w:rsidRDefault="007E5CF9" w:rsidP="000A0B0C">
            <w:r w:rsidRPr="00D5530E">
              <w:t xml:space="preserve">Наименование </w:t>
            </w:r>
          </w:p>
          <w:p w:rsidR="007E5CF9" w:rsidRPr="00D5530E" w:rsidRDefault="007E5CF9" w:rsidP="000A0B0C">
            <w:r w:rsidRPr="00D5530E">
              <w:t>Объекта</w:t>
            </w:r>
          </w:p>
          <w:p w:rsidR="007E5CF9" w:rsidRPr="00D5530E" w:rsidRDefault="007E5CF9" w:rsidP="000A0B0C">
            <w:r w:rsidRPr="00D5530E">
              <w:t>закупки</w:t>
            </w:r>
          </w:p>
        </w:tc>
        <w:tc>
          <w:tcPr>
            <w:tcW w:w="9180" w:type="dxa"/>
            <w:gridSpan w:val="5"/>
          </w:tcPr>
          <w:p w:rsidR="007E5CF9" w:rsidRPr="00D5530E" w:rsidRDefault="007E5CF9" w:rsidP="000A0B0C">
            <w:pPr>
              <w:jc w:val="center"/>
            </w:pPr>
          </w:p>
          <w:p w:rsidR="007E5CF9" w:rsidRPr="00D5530E" w:rsidRDefault="007E5CF9" w:rsidP="000A0B0C">
            <w:pPr>
              <w:jc w:val="center"/>
            </w:pPr>
            <w:r w:rsidRPr="00D5530E">
              <w:t>Характеристика объекта закупки</w:t>
            </w:r>
          </w:p>
        </w:tc>
        <w:tc>
          <w:tcPr>
            <w:tcW w:w="1152" w:type="dxa"/>
          </w:tcPr>
          <w:p w:rsidR="007E5CF9" w:rsidRPr="00D5530E" w:rsidRDefault="007E5CF9" w:rsidP="000A0B0C">
            <w:r w:rsidRPr="00D5530E">
              <w:t>Единица</w:t>
            </w:r>
          </w:p>
          <w:p w:rsidR="007E5CF9" w:rsidRPr="00D5530E" w:rsidRDefault="007E5CF9" w:rsidP="000A0B0C">
            <w:r w:rsidRPr="00D5530E">
              <w:t>измерения</w:t>
            </w:r>
          </w:p>
        </w:tc>
        <w:tc>
          <w:tcPr>
            <w:tcW w:w="1008" w:type="dxa"/>
          </w:tcPr>
          <w:p w:rsidR="007E5CF9" w:rsidRPr="00D5530E" w:rsidRDefault="007E5CF9" w:rsidP="000A0B0C">
            <w:r w:rsidRPr="00D5530E">
              <w:t>Кол-во</w:t>
            </w:r>
          </w:p>
          <w:p w:rsidR="007E5CF9" w:rsidRPr="00D5530E" w:rsidRDefault="007E5CF9" w:rsidP="000A0B0C">
            <w:r w:rsidRPr="00D5530E">
              <w:t>товара</w:t>
            </w:r>
          </w:p>
        </w:tc>
      </w:tr>
      <w:tr w:rsidR="007E5CF9" w:rsidRPr="00D5530E" w:rsidTr="000A0B0C">
        <w:trPr>
          <w:trHeight w:val="3268"/>
        </w:trPr>
        <w:tc>
          <w:tcPr>
            <w:tcW w:w="648" w:type="dxa"/>
            <w:vMerge/>
          </w:tcPr>
          <w:p w:rsidR="007E5CF9" w:rsidRPr="00D5530E" w:rsidRDefault="007E5CF9" w:rsidP="000A0B0C"/>
        </w:tc>
        <w:tc>
          <w:tcPr>
            <w:tcW w:w="2160" w:type="dxa"/>
            <w:vMerge/>
          </w:tcPr>
          <w:p w:rsidR="007E5CF9" w:rsidRPr="00D5530E" w:rsidRDefault="007E5CF9" w:rsidP="000A0B0C"/>
        </w:tc>
        <w:tc>
          <w:tcPr>
            <w:tcW w:w="1620" w:type="dxa"/>
          </w:tcPr>
          <w:p w:rsidR="007E5CF9" w:rsidRPr="00D5530E" w:rsidRDefault="007E5CF9" w:rsidP="000A0B0C">
            <w:r w:rsidRPr="00D5530E">
              <w:t xml:space="preserve">Наименование </w:t>
            </w:r>
          </w:p>
          <w:p w:rsidR="007E5CF9" w:rsidRPr="00D5530E" w:rsidRDefault="007E5CF9" w:rsidP="000A0B0C">
            <w:r w:rsidRPr="00D5530E">
              <w:t xml:space="preserve">показателя </w:t>
            </w:r>
          </w:p>
          <w:p w:rsidR="007E5CF9" w:rsidRPr="00D5530E" w:rsidRDefault="007E5CF9" w:rsidP="000A0B0C">
            <w:r w:rsidRPr="00D5530E">
              <w:t>товара</w:t>
            </w:r>
          </w:p>
        </w:tc>
        <w:tc>
          <w:tcPr>
            <w:tcW w:w="1440" w:type="dxa"/>
          </w:tcPr>
          <w:p w:rsidR="007E5CF9" w:rsidRPr="00D5530E" w:rsidRDefault="007E5CF9" w:rsidP="000A0B0C">
            <w:r w:rsidRPr="00D5530E">
              <w:t>Единица измерения</w:t>
            </w:r>
          </w:p>
        </w:tc>
        <w:tc>
          <w:tcPr>
            <w:tcW w:w="1980" w:type="dxa"/>
          </w:tcPr>
          <w:p w:rsidR="007E5CF9" w:rsidRPr="00D5530E" w:rsidRDefault="007E5CF9" w:rsidP="000A0B0C">
            <w:r w:rsidRPr="00D5530E">
              <w:rPr>
                <w:color w:val="000000"/>
              </w:rPr>
              <w:t>Значение показателя товара, которое не может изменяться участником закупки при подаче заявки</w:t>
            </w:r>
          </w:p>
        </w:tc>
        <w:tc>
          <w:tcPr>
            <w:tcW w:w="2160" w:type="dxa"/>
          </w:tcPr>
          <w:p w:rsidR="007E5CF9" w:rsidRPr="00D5530E" w:rsidRDefault="007E5CF9" w:rsidP="000A0B0C">
            <w:r w:rsidRPr="00D5530E">
              <w:rPr>
                <w:color w:val="000000"/>
              </w:rPr>
              <w:t>Значение показателя товара, при определении которого участником закупки используются только точные цифровые или иные параметры</w:t>
            </w:r>
          </w:p>
        </w:tc>
        <w:tc>
          <w:tcPr>
            <w:tcW w:w="1980" w:type="dxa"/>
          </w:tcPr>
          <w:p w:rsidR="007E5CF9" w:rsidRPr="00D5530E" w:rsidRDefault="007E5CF9" w:rsidP="000A0B0C">
            <w:r w:rsidRPr="00D5530E">
              <w:rPr>
                <w:color w:val="000000"/>
              </w:rPr>
              <w:t>Значение показателя товара, при определении которого участником закупки могут не использоваться точные цифровые или иные параметры</w:t>
            </w:r>
          </w:p>
        </w:tc>
        <w:tc>
          <w:tcPr>
            <w:tcW w:w="1152" w:type="dxa"/>
          </w:tcPr>
          <w:p w:rsidR="007E5CF9" w:rsidRPr="00D5530E" w:rsidRDefault="007E5CF9" w:rsidP="000A0B0C"/>
        </w:tc>
        <w:tc>
          <w:tcPr>
            <w:tcW w:w="1008" w:type="dxa"/>
          </w:tcPr>
          <w:p w:rsidR="007E5CF9" w:rsidRPr="00D5530E" w:rsidRDefault="007E5CF9" w:rsidP="000A0B0C"/>
        </w:tc>
      </w:tr>
      <w:tr w:rsidR="007E5CF9" w:rsidRPr="00D5530E" w:rsidTr="000A0B0C">
        <w:tc>
          <w:tcPr>
            <w:tcW w:w="648" w:type="dxa"/>
          </w:tcPr>
          <w:p w:rsidR="007E5CF9" w:rsidRPr="00D5530E" w:rsidRDefault="007E5CF9" w:rsidP="000A0B0C">
            <w:r w:rsidRPr="00D5530E">
              <w:t>1.</w:t>
            </w:r>
          </w:p>
        </w:tc>
        <w:tc>
          <w:tcPr>
            <w:tcW w:w="2160" w:type="dxa"/>
          </w:tcPr>
          <w:p w:rsidR="007E5CF9" w:rsidRPr="00D5530E" w:rsidRDefault="007E5CF9" w:rsidP="000A0B0C">
            <w:pPr>
              <w:pStyle w:val="11"/>
              <w:shd w:val="clear" w:color="auto" w:fill="auto"/>
              <w:spacing w:line="240" w:lineRule="auto"/>
              <w:jc w:val="both"/>
              <w:rPr>
                <w:bCs/>
                <w:sz w:val="24"/>
                <w:szCs w:val="24"/>
              </w:rPr>
            </w:pPr>
            <w:r w:rsidRPr="00D5530E">
              <w:rPr>
                <w:bCs/>
                <w:sz w:val="24"/>
                <w:szCs w:val="24"/>
              </w:rPr>
              <w:t>Огурцы маринованные</w:t>
            </w:r>
          </w:p>
          <w:p w:rsidR="007E5CF9" w:rsidRPr="00D5530E" w:rsidRDefault="007E5CF9" w:rsidP="000A0B0C">
            <w:pPr>
              <w:pStyle w:val="11"/>
              <w:shd w:val="clear" w:color="auto" w:fill="auto"/>
              <w:spacing w:line="240" w:lineRule="auto"/>
              <w:jc w:val="both"/>
              <w:rPr>
                <w:bCs/>
                <w:sz w:val="24"/>
                <w:szCs w:val="24"/>
              </w:rPr>
            </w:pPr>
          </w:p>
          <w:p w:rsidR="007E5CF9" w:rsidRPr="00D5530E" w:rsidRDefault="007E5CF9" w:rsidP="000A0B0C">
            <w:pPr>
              <w:pStyle w:val="11"/>
              <w:shd w:val="clear" w:color="auto" w:fill="auto"/>
              <w:spacing w:line="240" w:lineRule="auto"/>
              <w:jc w:val="both"/>
              <w:rPr>
                <w:sz w:val="24"/>
                <w:szCs w:val="24"/>
              </w:rPr>
            </w:pPr>
            <w:r w:rsidRPr="00D5530E">
              <w:rPr>
                <w:bCs/>
                <w:sz w:val="24"/>
                <w:szCs w:val="24"/>
              </w:rPr>
              <w:t>Страна производитель Россия</w:t>
            </w:r>
          </w:p>
        </w:tc>
        <w:tc>
          <w:tcPr>
            <w:tcW w:w="1620" w:type="dxa"/>
          </w:tcPr>
          <w:p w:rsidR="007E5CF9" w:rsidRPr="00D5530E" w:rsidRDefault="007E5CF9" w:rsidP="000A0B0C">
            <w:pPr>
              <w:pStyle w:val="11"/>
              <w:shd w:val="clear" w:color="auto" w:fill="auto"/>
              <w:spacing w:line="240" w:lineRule="auto"/>
              <w:jc w:val="both"/>
              <w:rPr>
                <w:sz w:val="24"/>
                <w:szCs w:val="24"/>
              </w:rPr>
            </w:pPr>
            <w:r w:rsidRPr="00D5530E">
              <w:rPr>
                <w:sz w:val="24"/>
                <w:szCs w:val="24"/>
              </w:rPr>
              <w:t>Общие требования</w:t>
            </w:r>
          </w:p>
        </w:tc>
        <w:tc>
          <w:tcPr>
            <w:tcW w:w="1440" w:type="dxa"/>
          </w:tcPr>
          <w:p w:rsidR="007E5CF9" w:rsidRPr="00D5530E" w:rsidRDefault="007E5CF9" w:rsidP="000A0B0C">
            <w:pPr>
              <w:jc w:val="center"/>
              <w:rPr>
                <w:lang w:eastAsia="en-US"/>
              </w:rPr>
            </w:pPr>
          </w:p>
        </w:tc>
        <w:tc>
          <w:tcPr>
            <w:tcW w:w="1980" w:type="dxa"/>
          </w:tcPr>
          <w:p w:rsidR="007E5CF9" w:rsidRPr="00D5530E" w:rsidRDefault="007E5CF9" w:rsidP="000A0B0C">
            <w:pPr>
              <w:shd w:val="clear" w:color="auto" w:fill="FFFFFF"/>
              <w:jc w:val="both"/>
            </w:pPr>
            <w:r w:rsidRPr="00D5530E">
              <w:t xml:space="preserve">Содержание токсичных элементов, нитратов, фосфорорганических и хлорорганических пестицидов, радионуклидов не должно превышать норм, установленных </w:t>
            </w:r>
            <w:r w:rsidRPr="00D5530E">
              <w:lastRenderedPageBreak/>
              <w:t>нормативными правовыми актами Российской Федерации.</w:t>
            </w:r>
          </w:p>
          <w:p w:rsidR="007E5CF9" w:rsidRPr="00D5530E" w:rsidRDefault="007E5CF9" w:rsidP="000A0B0C">
            <w:pPr>
              <w:tabs>
                <w:tab w:val="left" w:pos="5760"/>
              </w:tabs>
              <w:jc w:val="both"/>
              <w:outlineLvl w:val="0"/>
              <w:rPr>
                <w:spacing w:val="2"/>
                <w:shd w:val="clear" w:color="auto" w:fill="FFFFFF"/>
              </w:rPr>
            </w:pPr>
            <w:r w:rsidRPr="00D5530E">
              <w:rPr>
                <w:spacing w:val="2"/>
                <w:shd w:val="clear" w:color="auto" w:fill="FFFFFF"/>
              </w:rPr>
              <w:t>Микробиологические показатели не должны превышать норм, установленных нормативными правовыми актами Российской Федерации.</w:t>
            </w:r>
          </w:p>
          <w:p w:rsidR="007E5CF9" w:rsidRPr="00D5530E" w:rsidRDefault="007E5CF9" w:rsidP="000A0B0C">
            <w:pPr>
              <w:tabs>
                <w:tab w:val="left" w:pos="5760"/>
              </w:tabs>
              <w:jc w:val="both"/>
              <w:outlineLvl w:val="0"/>
            </w:pPr>
            <w:r w:rsidRPr="00D5530E">
              <w:t>Соответствие: Технический регламент Таможенного союза «О безопасности пищевой продукции» от 09.12.2011 ТР ТС 021/2011.</w:t>
            </w:r>
          </w:p>
        </w:tc>
        <w:tc>
          <w:tcPr>
            <w:tcW w:w="2160" w:type="dxa"/>
          </w:tcPr>
          <w:p w:rsidR="007E5CF9" w:rsidRPr="00D5530E" w:rsidRDefault="007E5CF9" w:rsidP="000A0B0C">
            <w:pPr>
              <w:jc w:val="both"/>
            </w:pPr>
          </w:p>
        </w:tc>
        <w:tc>
          <w:tcPr>
            <w:tcW w:w="1980" w:type="dxa"/>
          </w:tcPr>
          <w:p w:rsidR="007E5CF9" w:rsidRPr="00D5530E" w:rsidRDefault="007E5CF9" w:rsidP="000A0B0C">
            <w:pPr>
              <w:tabs>
                <w:tab w:val="left" w:pos="5760"/>
              </w:tabs>
              <w:jc w:val="both"/>
              <w:outlineLvl w:val="0"/>
            </w:pPr>
            <w:r w:rsidRPr="00D5530E">
              <w:t xml:space="preserve">Товар </w:t>
            </w:r>
            <w:r w:rsidRPr="00D5530E">
              <w:rPr>
                <w:bCs/>
              </w:rPr>
              <w:t xml:space="preserve">по показателям качества и безопасности должен соответствовать требованиям ГОСТ Р 52477-2005 «Консервы. Маринады овощные. Технические </w:t>
            </w:r>
            <w:r w:rsidRPr="00D5530E">
              <w:rPr>
                <w:bCs/>
              </w:rPr>
              <w:lastRenderedPageBreak/>
              <w:t xml:space="preserve">условия» </w:t>
            </w:r>
            <w:r w:rsidRPr="00D5530E">
              <w:t>или других технических документов с показателями качества и безопасности, не ниже указанных для данного товара.</w:t>
            </w:r>
          </w:p>
          <w:p w:rsidR="007E5CF9" w:rsidRPr="00D5530E" w:rsidRDefault="007E5CF9" w:rsidP="000A0B0C">
            <w:pPr>
              <w:tabs>
                <w:tab w:val="left" w:pos="5760"/>
              </w:tabs>
              <w:jc w:val="both"/>
              <w:outlineLvl w:val="0"/>
            </w:pPr>
            <w:r w:rsidRPr="00D5530E">
              <w:t xml:space="preserve">Овощи, подготовленные для маринования должны отвечать следующим требованиям: огурцы с недоразвитыми водянистыми семенами, хорошим вкусом, плотной консистенцией и </w:t>
            </w:r>
            <w:proofErr w:type="spellStart"/>
            <w:r w:rsidRPr="00D5530E">
              <w:t>неогрубевшей</w:t>
            </w:r>
            <w:proofErr w:type="spellEnd"/>
            <w:r w:rsidRPr="00D5530E">
              <w:t xml:space="preserve"> кожицей.</w:t>
            </w:r>
          </w:p>
        </w:tc>
        <w:tc>
          <w:tcPr>
            <w:tcW w:w="1152" w:type="dxa"/>
          </w:tcPr>
          <w:p w:rsidR="007E5CF9" w:rsidRDefault="007E5CF9" w:rsidP="000A0B0C">
            <w:proofErr w:type="spellStart"/>
            <w:r>
              <w:lastRenderedPageBreak/>
              <w:t>шт</w:t>
            </w:r>
            <w:proofErr w:type="spellEnd"/>
          </w:p>
          <w:p w:rsidR="007E5CF9" w:rsidRPr="00D5530E" w:rsidRDefault="007E5CF9" w:rsidP="000A0B0C">
            <w:r>
              <w:t>банки 3 л</w:t>
            </w:r>
          </w:p>
        </w:tc>
        <w:tc>
          <w:tcPr>
            <w:tcW w:w="1008" w:type="dxa"/>
          </w:tcPr>
          <w:p w:rsidR="007E5CF9" w:rsidRPr="00D5530E" w:rsidRDefault="00800CD3" w:rsidP="000A0B0C">
            <w:r>
              <w:t>25</w:t>
            </w:r>
            <w:bookmarkStart w:id="0" w:name="_GoBack"/>
            <w:bookmarkEnd w:id="0"/>
            <w:r w:rsidR="007E5CF9">
              <w:t>0</w:t>
            </w:r>
          </w:p>
        </w:tc>
      </w:tr>
      <w:tr w:rsidR="007E5CF9" w:rsidRPr="00D5530E" w:rsidTr="000A0B0C">
        <w:tc>
          <w:tcPr>
            <w:tcW w:w="648" w:type="dxa"/>
          </w:tcPr>
          <w:p w:rsidR="007E5CF9" w:rsidRPr="00D5530E" w:rsidRDefault="007E5CF9" w:rsidP="000A0B0C"/>
        </w:tc>
        <w:tc>
          <w:tcPr>
            <w:tcW w:w="2160" w:type="dxa"/>
          </w:tcPr>
          <w:p w:rsidR="007E5CF9" w:rsidRPr="00D5530E" w:rsidRDefault="007E5CF9" w:rsidP="000A0B0C">
            <w:pPr>
              <w:pStyle w:val="11"/>
              <w:shd w:val="clear" w:color="auto" w:fill="auto"/>
              <w:spacing w:line="240" w:lineRule="auto"/>
              <w:jc w:val="both"/>
              <w:rPr>
                <w:bCs/>
                <w:sz w:val="24"/>
                <w:szCs w:val="24"/>
              </w:rPr>
            </w:pPr>
          </w:p>
        </w:tc>
        <w:tc>
          <w:tcPr>
            <w:tcW w:w="1620" w:type="dxa"/>
          </w:tcPr>
          <w:p w:rsidR="007E5CF9" w:rsidRPr="00D5530E" w:rsidRDefault="007E5CF9" w:rsidP="000A0B0C">
            <w:pPr>
              <w:pStyle w:val="11"/>
              <w:shd w:val="clear" w:color="auto" w:fill="auto"/>
              <w:spacing w:line="240" w:lineRule="auto"/>
              <w:jc w:val="both"/>
              <w:rPr>
                <w:sz w:val="24"/>
                <w:szCs w:val="24"/>
              </w:rPr>
            </w:pPr>
            <w:r w:rsidRPr="00D5530E">
              <w:rPr>
                <w:sz w:val="24"/>
                <w:szCs w:val="24"/>
              </w:rPr>
              <w:t>Внешний вид</w:t>
            </w:r>
          </w:p>
        </w:tc>
        <w:tc>
          <w:tcPr>
            <w:tcW w:w="1440" w:type="dxa"/>
          </w:tcPr>
          <w:p w:rsidR="007E5CF9" w:rsidRPr="00D5530E" w:rsidRDefault="007E5CF9" w:rsidP="000A0B0C">
            <w:pPr>
              <w:jc w:val="center"/>
              <w:rPr>
                <w:lang w:eastAsia="en-US"/>
              </w:rPr>
            </w:pPr>
          </w:p>
        </w:tc>
        <w:tc>
          <w:tcPr>
            <w:tcW w:w="1980" w:type="dxa"/>
          </w:tcPr>
          <w:p w:rsidR="007E5CF9" w:rsidRPr="00D5530E" w:rsidRDefault="007E5CF9" w:rsidP="000A0B0C">
            <w:pPr>
              <w:tabs>
                <w:tab w:val="left" w:pos="5760"/>
              </w:tabs>
              <w:jc w:val="both"/>
              <w:outlineLvl w:val="0"/>
            </w:pPr>
          </w:p>
        </w:tc>
        <w:tc>
          <w:tcPr>
            <w:tcW w:w="2160" w:type="dxa"/>
          </w:tcPr>
          <w:p w:rsidR="007E5CF9" w:rsidRPr="00D5530E" w:rsidRDefault="007E5CF9" w:rsidP="000A0B0C">
            <w:pPr>
              <w:jc w:val="both"/>
            </w:pPr>
          </w:p>
        </w:tc>
        <w:tc>
          <w:tcPr>
            <w:tcW w:w="1980" w:type="dxa"/>
          </w:tcPr>
          <w:p w:rsidR="007E5CF9" w:rsidRPr="00D5530E" w:rsidRDefault="007E5CF9" w:rsidP="000A0B0C">
            <w:pPr>
              <w:tabs>
                <w:tab w:val="left" w:pos="5760"/>
              </w:tabs>
              <w:jc w:val="both"/>
              <w:outlineLvl w:val="0"/>
            </w:pPr>
            <w:r w:rsidRPr="00D5530E">
              <w:t>Овощи целые или нарезанные, однородные по размеру и конфигурации, здоровые, чистые, не сморщенные, не мятые, без механических повреждений.</w:t>
            </w:r>
          </w:p>
        </w:tc>
        <w:tc>
          <w:tcPr>
            <w:tcW w:w="1152" w:type="dxa"/>
          </w:tcPr>
          <w:p w:rsidR="007E5CF9" w:rsidRPr="00D5530E" w:rsidRDefault="007E5CF9" w:rsidP="000A0B0C"/>
        </w:tc>
        <w:tc>
          <w:tcPr>
            <w:tcW w:w="1008" w:type="dxa"/>
          </w:tcPr>
          <w:p w:rsidR="007E5CF9" w:rsidRPr="00D5530E" w:rsidRDefault="007E5CF9" w:rsidP="000A0B0C"/>
        </w:tc>
      </w:tr>
      <w:tr w:rsidR="007E5CF9" w:rsidRPr="00D5530E" w:rsidTr="000A0B0C">
        <w:tc>
          <w:tcPr>
            <w:tcW w:w="648" w:type="dxa"/>
          </w:tcPr>
          <w:p w:rsidR="007E5CF9" w:rsidRPr="00D5530E" w:rsidRDefault="007E5CF9" w:rsidP="000A0B0C"/>
        </w:tc>
        <w:tc>
          <w:tcPr>
            <w:tcW w:w="2160" w:type="dxa"/>
          </w:tcPr>
          <w:p w:rsidR="007E5CF9" w:rsidRPr="00D5530E" w:rsidRDefault="007E5CF9" w:rsidP="000A0B0C">
            <w:pPr>
              <w:pStyle w:val="11"/>
              <w:shd w:val="clear" w:color="auto" w:fill="auto"/>
              <w:spacing w:line="240" w:lineRule="auto"/>
              <w:jc w:val="both"/>
              <w:rPr>
                <w:bCs/>
                <w:sz w:val="24"/>
                <w:szCs w:val="24"/>
              </w:rPr>
            </w:pPr>
          </w:p>
        </w:tc>
        <w:tc>
          <w:tcPr>
            <w:tcW w:w="1620" w:type="dxa"/>
          </w:tcPr>
          <w:p w:rsidR="007E5CF9" w:rsidRPr="00D5530E" w:rsidRDefault="007E5CF9" w:rsidP="000A0B0C">
            <w:pPr>
              <w:pStyle w:val="11"/>
              <w:shd w:val="clear" w:color="auto" w:fill="auto"/>
              <w:spacing w:line="240" w:lineRule="auto"/>
              <w:jc w:val="both"/>
              <w:rPr>
                <w:sz w:val="24"/>
                <w:szCs w:val="24"/>
              </w:rPr>
            </w:pPr>
            <w:r w:rsidRPr="00D5530E">
              <w:rPr>
                <w:sz w:val="24"/>
                <w:szCs w:val="24"/>
              </w:rPr>
              <w:t>Цвет</w:t>
            </w:r>
          </w:p>
        </w:tc>
        <w:tc>
          <w:tcPr>
            <w:tcW w:w="1440" w:type="dxa"/>
          </w:tcPr>
          <w:p w:rsidR="007E5CF9" w:rsidRPr="00D5530E" w:rsidRDefault="007E5CF9" w:rsidP="000A0B0C">
            <w:pPr>
              <w:jc w:val="center"/>
              <w:rPr>
                <w:lang w:eastAsia="en-US"/>
              </w:rPr>
            </w:pPr>
          </w:p>
        </w:tc>
        <w:tc>
          <w:tcPr>
            <w:tcW w:w="1980" w:type="dxa"/>
          </w:tcPr>
          <w:p w:rsidR="007E5CF9" w:rsidRPr="00D5530E" w:rsidRDefault="007E5CF9" w:rsidP="000A0B0C">
            <w:pPr>
              <w:tabs>
                <w:tab w:val="left" w:pos="5760"/>
              </w:tabs>
              <w:jc w:val="both"/>
              <w:outlineLvl w:val="0"/>
            </w:pPr>
            <w:r w:rsidRPr="00D5530E">
              <w:t>Однородный для овощей одного вида, близкий к типичному для данного ботанического сорта, без пятен, прозелени и ожогов.</w:t>
            </w:r>
          </w:p>
        </w:tc>
        <w:tc>
          <w:tcPr>
            <w:tcW w:w="2160" w:type="dxa"/>
          </w:tcPr>
          <w:p w:rsidR="007E5CF9" w:rsidRPr="00D5530E" w:rsidRDefault="007E5CF9" w:rsidP="000A0B0C">
            <w:pPr>
              <w:jc w:val="both"/>
            </w:pPr>
          </w:p>
        </w:tc>
        <w:tc>
          <w:tcPr>
            <w:tcW w:w="1980" w:type="dxa"/>
          </w:tcPr>
          <w:p w:rsidR="007E5CF9" w:rsidRPr="00D5530E" w:rsidRDefault="007E5CF9" w:rsidP="000A0B0C">
            <w:pPr>
              <w:tabs>
                <w:tab w:val="left" w:pos="5760"/>
              </w:tabs>
              <w:jc w:val="both"/>
              <w:outlineLvl w:val="0"/>
            </w:pPr>
            <w:r w:rsidRPr="00D5530E">
              <w:t>С оттенками от зеленого до оливкового.</w:t>
            </w:r>
          </w:p>
        </w:tc>
        <w:tc>
          <w:tcPr>
            <w:tcW w:w="1152" w:type="dxa"/>
          </w:tcPr>
          <w:p w:rsidR="007E5CF9" w:rsidRPr="00D5530E" w:rsidRDefault="007E5CF9" w:rsidP="000A0B0C"/>
        </w:tc>
        <w:tc>
          <w:tcPr>
            <w:tcW w:w="1008" w:type="dxa"/>
          </w:tcPr>
          <w:p w:rsidR="007E5CF9" w:rsidRPr="00D5530E" w:rsidRDefault="007E5CF9" w:rsidP="000A0B0C"/>
        </w:tc>
      </w:tr>
      <w:tr w:rsidR="007E5CF9" w:rsidRPr="00D5530E" w:rsidTr="000A0B0C">
        <w:tc>
          <w:tcPr>
            <w:tcW w:w="648" w:type="dxa"/>
          </w:tcPr>
          <w:p w:rsidR="007E5CF9" w:rsidRPr="00D5530E" w:rsidRDefault="007E5CF9" w:rsidP="000A0B0C"/>
        </w:tc>
        <w:tc>
          <w:tcPr>
            <w:tcW w:w="2160" w:type="dxa"/>
          </w:tcPr>
          <w:p w:rsidR="007E5CF9" w:rsidRPr="00D5530E" w:rsidRDefault="007E5CF9" w:rsidP="000A0B0C">
            <w:pPr>
              <w:pStyle w:val="11"/>
              <w:shd w:val="clear" w:color="auto" w:fill="auto"/>
              <w:spacing w:line="240" w:lineRule="auto"/>
              <w:jc w:val="both"/>
              <w:rPr>
                <w:bCs/>
                <w:sz w:val="24"/>
                <w:szCs w:val="24"/>
              </w:rPr>
            </w:pPr>
          </w:p>
        </w:tc>
        <w:tc>
          <w:tcPr>
            <w:tcW w:w="1620" w:type="dxa"/>
          </w:tcPr>
          <w:p w:rsidR="007E5CF9" w:rsidRPr="00D5530E" w:rsidRDefault="007E5CF9" w:rsidP="000A0B0C">
            <w:pPr>
              <w:pStyle w:val="11"/>
              <w:shd w:val="clear" w:color="auto" w:fill="auto"/>
              <w:spacing w:line="240" w:lineRule="auto"/>
              <w:jc w:val="both"/>
              <w:rPr>
                <w:sz w:val="24"/>
                <w:szCs w:val="24"/>
              </w:rPr>
            </w:pPr>
            <w:r w:rsidRPr="00D5530E">
              <w:rPr>
                <w:sz w:val="24"/>
                <w:szCs w:val="24"/>
              </w:rPr>
              <w:t>Вкус и запах</w:t>
            </w:r>
          </w:p>
        </w:tc>
        <w:tc>
          <w:tcPr>
            <w:tcW w:w="1440" w:type="dxa"/>
          </w:tcPr>
          <w:p w:rsidR="007E5CF9" w:rsidRPr="00D5530E" w:rsidRDefault="007E5CF9" w:rsidP="000A0B0C">
            <w:pPr>
              <w:jc w:val="center"/>
              <w:rPr>
                <w:lang w:eastAsia="en-US"/>
              </w:rPr>
            </w:pPr>
          </w:p>
        </w:tc>
        <w:tc>
          <w:tcPr>
            <w:tcW w:w="1980" w:type="dxa"/>
          </w:tcPr>
          <w:p w:rsidR="007E5CF9" w:rsidRPr="00D5530E" w:rsidRDefault="007E5CF9" w:rsidP="000A0B0C">
            <w:pPr>
              <w:tabs>
                <w:tab w:val="left" w:pos="5760"/>
              </w:tabs>
              <w:jc w:val="both"/>
              <w:outlineLvl w:val="0"/>
            </w:pPr>
            <w:r w:rsidRPr="00D5530E">
              <w:t>Не допускаются посторонние запах и привкус.</w:t>
            </w:r>
          </w:p>
        </w:tc>
        <w:tc>
          <w:tcPr>
            <w:tcW w:w="2160" w:type="dxa"/>
          </w:tcPr>
          <w:p w:rsidR="007E5CF9" w:rsidRPr="00D5530E" w:rsidRDefault="007E5CF9" w:rsidP="000A0B0C">
            <w:pPr>
              <w:jc w:val="both"/>
            </w:pPr>
          </w:p>
        </w:tc>
        <w:tc>
          <w:tcPr>
            <w:tcW w:w="1980" w:type="dxa"/>
          </w:tcPr>
          <w:p w:rsidR="007E5CF9" w:rsidRPr="00D5530E" w:rsidRDefault="007E5CF9" w:rsidP="000A0B0C">
            <w:pPr>
              <w:tabs>
                <w:tab w:val="left" w:pos="5760"/>
              </w:tabs>
              <w:jc w:val="both"/>
              <w:outlineLvl w:val="0"/>
            </w:pPr>
            <w:r w:rsidRPr="00D5530E">
              <w:t>Приятный, слабокислый или кислый, или кисло-сладкий, свойственный маринованным овощам данного вида, умеренно соленый с ароматом пряностей, в случае добавления масла – с привкусом растительного масла.</w:t>
            </w:r>
          </w:p>
        </w:tc>
        <w:tc>
          <w:tcPr>
            <w:tcW w:w="1152" w:type="dxa"/>
          </w:tcPr>
          <w:p w:rsidR="007E5CF9" w:rsidRPr="00D5530E" w:rsidRDefault="007E5CF9" w:rsidP="000A0B0C"/>
        </w:tc>
        <w:tc>
          <w:tcPr>
            <w:tcW w:w="1008" w:type="dxa"/>
          </w:tcPr>
          <w:p w:rsidR="007E5CF9" w:rsidRPr="00D5530E" w:rsidRDefault="007E5CF9" w:rsidP="000A0B0C"/>
        </w:tc>
      </w:tr>
      <w:tr w:rsidR="007E5CF9" w:rsidRPr="00D5530E" w:rsidTr="000A0B0C">
        <w:tc>
          <w:tcPr>
            <w:tcW w:w="648" w:type="dxa"/>
          </w:tcPr>
          <w:p w:rsidR="007E5CF9" w:rsidRPr="00D5530E" w:rsidRDefault="007E5CF9" w:rsidP="000A0B0C"/>
        </w:tc>
        <w:tc>
          <w:tcPr>
            <w:tcW w:w="2160" w:type="dxa"/>
          </w:tcPr>
          <w:p w:rsidR="007E5CF9" w:rsidRPr="00D5530E" w:rsidRDefault="007E5CF9" w:rsidP="000A0B0C">
            <w:pPr>
              <w:pStyle w:val="11"/>
              <w:shd w:val="clear" w:color="auto" w:fill="auto"/>
              <w:spacing w:line="240" w:lineRule="auto"/>
              <w:jc w:val="both"/>
              <w:rPr>
                <w:bCs/>
                <w:sz w:val="24"/>
                <w:szCs w:val="24"/>
              </w:rPr>
            </w:pPr>
          </w:p>
        </w:tc>
        <w:tc>
          <w:tcPr>
            <w:tcW w:w="1620" w:type="dxa"/>
          </w:tcPr>
          <w:p w:rsidR="007E5CF9" w:rsidRPr="00D5530E" w:rsidRDefault="007E5CF9" w:rsidP="000A0B0C">
            <w:pPr>
              <w:pStyle w:val="11"/>
              <w:shd w:val="clear" w:color="auto" w:fill="auto"/>
              <w:spacing w:line="240" w:lineRule="auto"/>
              <w:jc w:val="both"/>
              <w:rPr>
                <w:sz w:val="24"/>
                <w:szCs w:val="24"/>
              </w:rPr>
            </w:pPr>
            <w:r w:rsidRPr="00D5530E">
              <w:rPr>
                <w:sz w:val="24"/>
                <w:szCs w:val="24"/>
              </w:rPr>
              <w:t>Качество заливки</w:t>
            </w:r>
          </w:p>
        </w:tc>
        <w:tc>
          <w:tcPr>
            <w:tcW w:w="1440" w:type="dxa"/>
          </w:tcPr>
          <w:p w:rsidR="007E5CF9" w:rsidRPr="00D5530E" w:rsidRDefault="007E5CF9" w:rsidP="000A0B0C">
            <w:pPr>
              <w:jc w:val="center"/>
              <w:rPr>
                <w:lang w:eastAsia="en-US"/>
              </w:rPr>
            </w:pPr>
          </w:p>
        </w:tc>
        <w:tc>
          <w:tcPr>
            <w:tcW w:w="1980" w:type="dxa"/>
          </w:tcPr>
          <w:p w:rsidR="007E5CF9" w:rsidRPr="00D5530E" w:rsidRDefault="007E5CF9" w:rsidP="000A0B0C">
            <w:pPr>
              <w:tabs>
                <w:tab w:val="left" w:pos="5760"/>
              </w:tabs>
              <w:jc w:val="both"/>
              <w:outlineLvl w:val="0"/>
            </w:pPr>
          </w:p>
        </w:tc>
        <w:tc>
          <w:tcPr>
            <w:tcW w:w="2160" w:type="dxa"/>
          </w:tcPr>
          <w:p w:rsidR="007E5CF9" w:rsidRPr="00D5530E" w:rsidRDefault="007E5CF9" w:rsidP="000A0B0C">
            <w:pPr>
              <w:jc w:val="both"/>
            </w:pPr>
          </w:p>
        </w:tc>
        <w:tc>
          <w:tcPr>
            <w:tcW w:w="1980" w:type="dxa"/>
          </w:tcPr>
          <w:p w:rsidR="007E5CF9" w:rsidRPr="00D5530E" w:rsidRDefault="007E5CF9" w:rsidP="000A0B0C">
            <w:pPr>
              <w:tabs>
                <w:tab w:val="left" w:pos="5760"/>
              </w:tabs>
              <w:jc w:val="both"/>
              <w:outlineLvl w:val="0"/>
            </w:pPr>
            <w:r w:rsidRPr="00D5530E">
              <w:t>Прозрачная, бесцветная или с характерным для определенного вида консервов оттенком с частицами пряностей или без них.</w:t>
            </w:r>
          </w:p>
        </w:tc>
        <w:tc>
          <w:tcPr>
            <w:tcW w:w="1152" w:type="dxa"/>
          </w:tcPr>
          <w:p w:rsidR="007E5CF9" w:rsidRPr="00D5530E" w:rsidRDefault="007E5CF9" w:rsidP="000A0B0C"/>
        </w:tc>
        <w:tc>
          <w:tcPr>
            <w:tcW w:w="1008" w:type="dxa"/>
          </w:tcPr>
          <w:p w:rsidR="007E5CF9" w:rsidRPr="00D5530E" w:rsidRDefault="007E5CF9" w:rsidP="000A0B0C"/>
        </w:tc>
      </w:tr>
      <w:tr w:rsidR="007E5CF9" w:rsidRPr="00D5530E" w:rsidTr="000A0B0C">
        <w:tc>
          <w:tcPr>
            <w:tcW w:w="648" w:type="dxa"/>
          </w:tcPr>
          <w:p w:rsidR="007E5CF9" w:rsidRPr="00D5530E" w:rsidRDefault="007E5CF9" w:rsidP="000A0B0C"/>
        </w:tc>
        <w:tc>
          <w:tcPr>
            <w:tcW w:w="2160" w:type="dxa"/>
          </w:tcPr>
          <w:p w:rsidR="007E5CF9" w:rsidRPr="00D5530E" w:rsidRDefault="007E5CF9" w:rsidP="000A0B0C">
            <w:pPr>
              <w:pStyle w:val="11"/>
              <w:shd w:val="clear" w:color="auto" w:fill="auto"/>
              <w:spacing w:line="240" w:lineRule="auto"/>
              <w:jc w:val="both"/>
              <w:rPr>
                <w:bCs/>
                <w:sz w:val="24"/>
                <w:szCs w:val="24"/>
              </w:rPr>
            </w:pPr>
          </w:p>
        </w:tc>
        <w:tc>
          <w:tcPr>
            <w:tcW w:w="1620" w:type="dxa"/>
          </w:tcPr>
          <w:p w:rsidR="007E5CF9" w:rsidRPr="00D5530E" w:rsidRDefault="007E5CF9" w:rsidP="000A0B0C">
            <w:pPr>
              <w:pStyle w:val="11"/>
              <w:shd w:val="clear" w:color="auto" w:fill="auto"/>
              <w:spacing w:line="240" w:lineRule="auto"/>
              <w:jc w:val="both"/>
              <w:rPr>
                <w:sz w:val="24"/>
                <w:szCs w:val="24"/>
              </w:rPr>
            </w:pPr>
            <w:r w:rsidRPr="00D5530E">
              <w:rPr>
                <w:sz w:val="24"/>
                <w:szCs w:val="24"/>
              </w:rPr>
              <w:t>Консистенция</w:t>
            </w:r>
          </w:p>
        </w:tc>
        <w:tc>
          <w:tcPr>
            <w:tcW w:w="1440" w:type="dxa"/>
          </w:tcPr>
          <w:p w:rsidR="007E5CF9" w:rsidRPr="00D5530E" w:rsidRDefault="007E5CF9" w:rsidP="000A0B0C">
            <w:pPr>
              <w:jc w:val="center"/>
              <w:rPr>
                <w:lang w:eastAsia="en-US"/>
              </w:rPr>
            </w:pPr>
          </w:p>
        </w:tc>
        <w:tc>
          <w:tcPr>
            <w:tcW w:w="1980" w:type="dxa"/>
          </w:tcPr>
          <w:p w:rsidR="007E5CF9" w:rsidRPr="00D5530E" w:rsidRDefault="007E5CF9" w:rsidP="000A0B0C">
            <w:pPr>
              <w:tabs>
                <w:tab w:val="left" w:pos="5760"/>
              </w:tabs>
              <w:jc w:val="both"/>
              <w:outlineLvl w:val="0"/>
            </w:pPr>
            <w:r w:rsidRPr="00D5530E">
              <w:t xml:space="preserve">Овощи плотные, </w:t>
            </w:r>
            <w:proofErr w:type="spellStart"/>
            <w:r w:rsidRPr="00D5530E">
              <w:t>неразваренные</w:t>
            </w:r>
            <w:proofErr w:type="spellEnd"/>
            <w:r w:rsidRPr="00D5530E">
              <w:t>.</w:t>
            </w:r>
          </w:p>
        </w:tc>
        <w:tc>
          <w:tcPr>
            <w:tcW w:w="2160" w:type="dxa"/>
          </w:tcPr>
          <w:p w:rsidR="007E5CF9" w:rsidRPr="00D5530E" w:rsidRDefault="007E5CF9" w:rsidP="000A0B0C">
            <w:pPr>
              <w:jc w:val="both"/>
            </w:pPr>
          </w:p>
        </w:tc>
        <w:tc>
          <w:tcPr>
            <w:tcW w:w="1980" w:type="dxa"/>
          </w:tcPr>
          <w:p w:rsidR="007E5CF9" w:rsidRPr="00D5530E" w:rsidRDefault="007E5CF9" w:rsidP="000A0B0C">
            <w:pPr>
              <w:tabs>
                <w:tab w:val="left" w:pos="5760"/>
              </w:tabs>
              <w:jc w:val="both"/>
              <w:outlineLvl w:val="0"/>
            </w:pPr>
          </w:p>
        </w:tc>
        <w:tc>
          <w:tcPr>
            <w:tcW w:w="1152" w:type="dxa"/>
          </w:tcPr>
          <w:p w:rsidR="007E5CF9" w:rsidRPr="00D5530E" w:rsidRDefault="007E5CF9" w:rsidP="000A0B0C"/>
        </w:tc>
        <w:tc>
          <w:tcPr>
            <w:tcW w:w="1008" w:type="dxa"/>
          </w:tcPr>
          <w:p w:rsidR="007E5CF9" w:rsidRPr="00D5530E" w:rsidRDefault="007E5CF9" w:rsidP="000A0B0C"/>
        </w:tc>
      </w:tr>
      <w:tr w:rsidR="007E5CF9" w:rsidRPr="00D5530E" w:rsidTr="000A0B0C">
        <w:tc>
          <w:tcPr>
            <w:tcW w:w="648" w:type="dxa"/>
          </w:tcPr>
          <w:p w:rsidR="007E5CF9" w:rsidRPr="00D5530E" w:rsidRDefault="007E5CF9" w:rsidP="000A0B0C"/>
        </w:tc>
        <w:tc>
          <w:tcPr>
            <w:tcW w:w="2160" w:type="dxa"/>
          </w:tcPr>
          <w:p w:rsidR="007E5CF9" w:rsidRPr="00D5530E" w:rsidRDefault="007E5CF9" w:rsidP="000A0B0C">
            <w:pPr>
              <w:pStyle w:val="11"/>
              <w:shd w:val="clear" w:color="auto" w:fill="auto"/>
              <w:spacing w:line="240" w:lineRule="auto"/>
              <w:jc w:val="both"/>
              <w:rPr>
                <w:bCs/>
                <w:sz w:val="24"/>
                <w:szCs w:val="24"/>
              </w:rPr>
            </w:pPr>
          </w:p>
        </w:tc>
        <w:tc>
          <w:tcPr>
            <w:tcW w:w="1620" w:type="dxa"/>
          </w:tcPr>
          <w:p w:rsidR="007E5CF9" w:rsidRPr="00D5530E" w:rsidRDefault="007E5CF9" w:rsidP="000A0B0C">
            <w:pPr>
              <w:pStyle w:val="11"/>
              <w:shd w:val="clear" w:color="auto" w:fill="auto"/>
              <w:spacing w:line="240" w:lineRule="auto"/>
              <w:jc w:val="both"/>
              <w:rPr>
                <w:sz w:val="24"/>
                <w:szCs w:val="24"/>
              </w:rPr>
            </w:pPr>
            <w:r w:rsidRPr="00D5530E">
              <w:rPr>
                <w:sz w:val="24"/>
                <w:szCs w:val="24"/>
              </w:rPr>
              <w:t>Упаковка</w:t>
            </w:r>
          </w:p>
        </w:tc>
        <w:tc>
          <w:tcPr>
            <w:tcW w:w="1440" w:type="dxa"/>
          </w:tcPr>
          <w:p w:rsidR="007E5CF9" w:rsidRPr="00D5530E" w:rsidRDefault="007E5CF9" w:rsidP="000A0B0C">
            <w:pPr>
              <w:jc w:val="center"/>
            </w:pPr>
          </w:p>
        </w:tc>
        <w:tc>
          <w:tcPr>
            <w:tcW w:w="1980" w:type="dxa"/>
          </w:tcPr>
          <w:p w:rsidR="007E5CF9" w:rsidRPr="00D5530E" w:rsidRDefault="007E5CF9" w:rsidP="000A0B0C">
            <w:pPr>
              <w:tabs>
                <w:tab w:val="left" w:pos="5760"/>
              </w:tabs>
              <w:jc w:val="both"/>
              <w:outlineLvl w:val="0"/>
            </w:pPr>
            <w:r w:rsidRPr="00D5530E">
              <w:rPr>
                <w:bCs/>
              </w:rPr>
              <w:t>С</w:t>
            </w:r>
            <w:r w:rsidRPr="00D5530E">
              <w:rPr>
                <w:bCs/>
                <w:iCs/>
              </w:rPr>
              <w:t>оответствие Техническому регламенту Таможенного союза «О безопасности упаковки» от 16.08.2011 ТР ТС 005/2011.</w:t>
            </w:r>
          </w:p>
        </w:tc>
        <w:tc>
          <w:tcPr>
            <w:tcW w:w="2160" w:type="dxa"/>
          </w:tcPr>
          <w:p w:rsidR="007E5CF9" w:rsidRPr="00D5530E" w:rsidRDefault="007E5CF9" w:rsidP="000A0B0C">
            <w:pPr>
              <w:jc w:val="both"/>
            </w:pPr>
          </w:p>
        </w:tc>
        <w:tc>
          <w:tcPr>
            <w:tcW w:w="1980" w:type="dxa"/>
          </w:tcPr>
          <w:p w:rsidR="007E5CF9" w:rsidRPr="00D5530E" w:rsidRDefault="007E5CF9" w:rsidP="000A0B0C">
            <w:pPr>
              <w:tabs>
                <w:tab w:val="left" w:pos="5760"/>
              </w:tabs>
              <w:jc w:val="both"/>
              <w:outlineLvl w:val="0"/>
            </w:pPr>
            <w:r w:rsidRPr="00D5530E">
              <w:rPr>
                <w:spacing w:val="2"/>
                <w:shd w:val="clear" w:color="auto" w:fill="FFFFFF"/>
              </w:rPr>
              <w:t>Стеклянные или металлические лакированные банки, укупориваемые металлическими лакированными крышками или тара из полимерных материалов.</w:t>
            </w:r>
          </w:p>
        </w:tc>
        <w:tc>
          <w:tcPr>
            <w:tcW w:w="1152" w:type="dxa"/>
          </w:tcPr>
          <w:p w:rsidR="007E5CF9" w:rsidRPr="00D5530E" w:rsidRDefault="007E5CF9" w:rsidP="000A0B0C"/>
        </w:tc>
        <w:tc>
          <w:tcPr>
            <w:tcW w:w="1008" w:type="dxa"/>
          </w:tcPr>
          <w:p w:rsidR="007E5CF9" w:rsidRPr="00D5530E" w:rsidRDefault="007E5CF9" w:rsidP="000A0B0C"/>
        </w:tc>
      </w:tr>
      <w:tr w:rsidR="007E5CF9" w:rsidRPr="00D5530E" w:rsidTr="000A0B0C">
        <w:tc>
          <w:tcPr>
            <w:tcW w:w="648" w:type="dxa"/>
          </w:tcPr>
          <w:p w:rsidR="007E5CF9" w:rsidRPr="00D5530E" w:rsidRDefault="007E5CF9" w:rsidP="000A0B0C"/>
        </w:tc>
        <w:tc>
          <w:tcPr>
            <w:tcW w:w="2160" w:type="dxa"/>
          </w:tcPr>
          <w:p w:rsidR="007E5CF9" w:rsidRPr="00D5530E" w:rsidRDefault="007E5CF9" w:rsidP="000A0B0C">
            <w:pPr>
              <w:pStyle w:val="11"/>
              <w:shd w:val="clear" w:color="auto" w:fill="auto"/>
              <w:spacing w:line="240" w:lineRule="auto"/>
              <w:jc w:val="both"/>
              <w:rPr>
                <w:bCs/>
                <w:sz w:val="24"/>
                <w:szCs w:val="24"/>
              </w:rPr>
            </w:pPr>
          </w:p>
        </w:tc>
        <w:tc>
          <w:tcPr>
            <w:tcW w:w="1620" w:type="dxa"/>
          </w:tcPr>
          <w:p w:rsidR="007E5CF9" w:rsidRPr="00D5530E" w:rsidRDefault="007E5CF9" w:rsidP="000A0B0C">
            <w:pPr>
              <w:pStyle w:val="11"/>
              <w:shd w:val="clear" w:color="auto" w:fill="auto"/>
              <w:spacing w:line="240" w:lineRule="auto"/>
              <w:jc w:val="both"/>
              <w:rPr>
                <w:sz w:val="24"/>
                <w:szCs w:val="24"/>
              </w:rPr>
            </w:pPr>
            <w:r w:rsidRPr="00D5530E">
              <w:rPr>
                <w:sz w:val="24"/>
                <w:szCs w:val="24"/>
              </w:rPr>
              <w:t>Маркировка</w:t>
            </w:r>
          </w:p>
        </w:tc>
        <w:tc>
          <w:tcPr>
            <w:tcW w:w="1440" w:type="dxa"/>
          </w:tcPr>
          <w:p w:rsidR="007E5CF9" w:rsidRPr="00D5530E" w:rsidRDefault="007E5CF9" w:rsidP="000A0B0C">
            <w:pPr>
              <w:jc w:val="center"/>
            </w:pPr>
          </w:p>
        </w:tc>
        <w:tc>
          <w:tcPr>
            <w:tcW w:w="1980" w:type="dxa"/>
          </w:tcPr>
          <w:p w:rsidR="007E5CF9" w:rsidRPr="00D5530E" w:rsidRDefault="007E5CF9" w:rsidP="000A0B0C">
            <w:pPr>
              <w:tabs>
                <w:tab w:val="left" w:pos="5760"/>
              </w:tabs>
              <w:jc w:val="both"/>
              <w:outlineLvl w:val="0"/>
              <w:rPr>
                <w:bCs/>
              </w:rPr>
            </w:pPr>
            <w:r w:rsidRPr="00D5530E">
              <w:rPr>
                <w:bCs/>
                <w:iCs/>
              </w:rPr>
              <w:t>Соответствие Техническому регламенту Таможенного союза «Пищевая продукция в части ее маркировки»</w:t>
            </w:r>
            <w:r w:rsidRPr="00D5530E">
              <w:rPr>
                <w:lang w:eastAsia="en-US"/>
              </w:rPr>
              <w:t xml:space="preserve"> от 09.12.2011</w:t>
            </w:r>
            <w:r w:rsidRPr="00D5530E">
              <w:rPr>
                <w:bCs/>
                <w:iCs/>
              </w:rPr>
              <w:t xml:space="preserve"> ТР ТС 022/2011.</w:t>
            </w:r>
          </w:p>
        </w:tc>
        <w:tc>
          <w:tcPr>
            <w:tcW w:w="2160" w:type="dxa"/>
          </w:tcPr>
          <w:p w:rsidR="007E5CF9" w:rsidRPr="00D5530E" w:rsidRDefault="007E5CF9" w:rsidP="000A0B0C">
            <w:pPr>
              <w:jc w:val="both"/>
            </w:pPr>
          </w:p>
        </w:tc>
        <w:tc>
          <w:tcPr>
            <w:tcW w:w="1980" w:type="dxa"/>
          </w:tcPr>
          <w:p w:rsidR="007E5CF9" w:rsidRPr="00D5530E" w:rsidRDefault="007E5CF9" w:rsidP="000A0B0C">
            <w:pPr>
              <w:tabs>
                <w:tab w:val="left" w:pos="5760"/>
              </w:tabs>
              <w:jc w:val="both"/>
              <w:outlineLvl w:val="0"/>
            </w:pPr>
          </w:p>
        </w:tc>
        <w:tc>
          <w:tcPr>
            <w:tcW w:w="1152" w:type="dxa"/>
          </w:tcPr>
          <w:p w:rsidR="007E5CF9" w:rsidRPr="00D5530E" w:rsidRDefault="007E5CF9" w:rsidP="000A0B0C"/>
        </w:tc>
        <w:tc>
          <w:tcPr>
            <w:tcW w:w="1008" w:type="dxa"/>
          </w:tcPr>
          <w:p w:rsidR="007E5CF9" w:rsidRPr="00D5530E" w:rsidRDefault="007E5CF9" w:rsidP="000A0B0C"/>
        </w:tc>
      </w:tr>
    </w:tbl>
    <w:p w:rsidR="00CB7A94" w:rsidRDefault="00CB7A94" w:rsidP="00CB7A94"/>
    <w:p w:rsidR="00CB7A94" w:rsidRDefault="00CB7A94" w:rsidP="00CB7A94"/>
    <w:p w:rsidR="00803CBE" w:rsidRDefault="00803CBE" w:rsidP="00803CBE"/>
    <w:p w:rsidR="00567F59" w:rsidRPr="00CB7A94" w:rsidRDefault="00567F59" w:rsidP="00CB7A94"/>
    <w:sectPr w:rsidR="00567F59" w:rsidRPr="00CB7A94" w:rsidSect="00C3104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B5"/>
    <w:rsid w:val="000312BD"/>
    <w:rsid w:val="000E3430"/>
    <w:rsid w:val="003207B5"/>
    <w:rsid w:val="00552837"/>
    <w:rsid w:val="00567F59"/>
    <w:rsid w:val="006806C8"/>
    <w:rsid w:val="0073050A"/>
    <w:rsid w:val="0074062D"/>
    <w:rsid w:val="007C2689"/>
    <w:rsid w:val="007D586E"/>
    <w:rsid w:val="007E5CF9"/>
    <w:rsid w:val="00800CD3"/>
    <w:rsid w:val="00803CBE"/>
    <w:rsid w:val="00860D89"/>
    <w:rsid w:val="009B01B5"/>
    <w:rsid w:val="00BD3537"/>
    <w:rsid w:val="00C3104B"/>
    <w:rsid w:val="00CB7A94"/>
    <w:rsid w:val="00D0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CA23"/>
  <w15:chartTrackingRefBased/>
  <w15:docId w15:val="{068F7728-502F-42DD-BD9A-5439616B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03CBE"/>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locked/>
    <w:rsid w:val="00CB7A94"/>
    <w:rPr>
      <w:sz w:val="28"/>
      <w:szCs w:val="28"/>
      <w:shd w:val="clear" w:color="auto" w:fill="FFFFFF"/>
    </w:rPr>
  </w:style>
  <w:style w:type="paragraph" w:customStyle="1" w:styleId="11">
    <w:name w:val="Основной текст1"/>
    <w:basedOn w:val="a"/>
    <w:link w:val="a3"/>
    <w:rsid w:val="00CB7A94"/>
    <w:pPr>
      <w:widowControl w:val="0"/>
      <w:shd w:val="clear" w:color="auto" w:fill="FFFFFF"/>
      <w:spacing w:line="240" w:lineRule="exact"/>
    </w:pPr>
    <w:rPr>
      <w:rFonts w:asciiTheme="minorHAnsi" w:eastAsiaTheme="minorHAnsi" w:hAnsiTheme="minorHAnsi" w:cstheme="minorBidi"/>
      <w:sz w:val="28"/>
      <w:szCs w:val="28"/>
      <w:lang w:eastAsia="en-US"/>
    </w:rPr>
  </w:style>
  <w:style w:type="character" w:customStyle="1" w:styleId="10">
    <w:name w:val="Заголовок 1 Знак"/>
    <w:basedOn w:val="a0"/>
    <w:link w:val="1"/>
    <w:uiPriority w:val="99"/>
    <w:rsid w:val="00803CBE"/>
    <w:rPr>
      <w:rFonts w:ascii="Arial" w:eastAsia="Calibri" w:hAnsi="Arial" w:cs="Arial"/>
      <w:b/>
      <w:bCs/>
      <w:color w:val="26282F"/>
      <w:sz w:val="24"/>
      <w:szCs w:val="24"/>
      <w:lang w:eastAsia="ru-RU"/>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5"/>
    <w:uiPriority w:val="99"/>
    <w:rsid w:val="000312BD"/>
    <w:pPr>
      <w:jc w:val="both"/>
    </w:p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0312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Pischeblok_new</dc:creator>
  <cp:keywords/>
  <dc:description/>
  <cp:lastModifiedBy>Алена Евгеньевна Кощеева</cp:lastModifiedBy>
  <cp:revision>19</cp:revision>
  <dcterms:created xsi:type="dcterms:W3CDTF">2021-10-19T00:57:00Z</dcterms:created>
  <dcterms:modified xsi:type="dcterms:W3CDTF">2023-09-13T07:48:00Z</dcterms:modified>
</cp:coreProperties>
</file>