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99" w:rsidRPr="00300560" w:rsidRDefault="00300560" w:rsidP="00FE0F99">
      <w:pPr>
        <w:jc w:val="center"/>
        <w:rPr>
          <w:b/>
        </w:rPr>
      </w:pPr>
      <w:r w:rsidRPr="00300560">
        <w:rPr>
          <w:b/>
        </w:rPr>
        <w:t>Описание объекта закупки</w:t>
      </w:r>
    </w:p>
    <w:p w:rsidR="005E211C" w:rsidRDefault="005E211C">
      <w:pPr>
        <w:rPr>
          <w:sz w:val="20"/>
          <w:szCs w:val="20"/>
        </w:rPr>
      </w:pPr>
      <w:bookmarkStart w:id="0" w:name="_GoBack"/>
      <w:bookmarkEnd w:id="0"/>
    </w:p>
    <w:p w:rsidR="005E211C" w:rsidRDefault="005E211C">
      <w:pPr>
        <w:rPr>
          <w:sz w:val="20"/>
          <w:szCs w:val="20"/>
        </w:rPr>
      </w:pPr>
    </w:p>
    <w:tbl>
      <w:tblPr>
        <w:tblStyle w:val="a9"/>
        <w:tblW w:w="10520" w:type="dxa"/>
        <w:tblInd w:w="108" w:type="dxa"/>
        <w:tblLayout w:type="fixed"/>
        <w:tblLook w:val="04A0"/>
      </w:tblPr>
      <w:tblGrid>
        <w:gridCol w:w="678"/>
        <w:gridCol w:w="2370"/>
        <w:gridCol w:w="6054"/>
        <w:gridCol w:w="741"/>
        <w:gridCol w:w="677"/>
      </w:tblGrid>
      <w:tr w:rsidR="00874AE2" w:rsidRPr="0007406C" w:rsidTr="00874AE2">
        <w:tc>
          <w:tcPr>
            <w:tcW w:w="678" w:type="dxa"/>
          </w:tcPr>
          <w:p w:rsidR="00874AE2" w:rsidRPr="0007406C" w:rsidRDefault="00874AE2" w:rsidP="00C472DF">
            <w:pPr>
              <w:spacing w:line="280" w:lineRule="exact"/>
            </w:pPr>
            <w:r w:rsidRPr="0007406C">
              <w:t xml:space="preserve">№ </w:t>
            </w:r>
            <w:proofErr w:type="spellStart"/>
            <w:proofErr w:type="gramStart"/>
            <w:r w:rsidRPr="0007406C">
              <w:t>п</w:t>
            </w:r>
            <w:proofErr w:type="spellEnd"/>
            <w:proofErr w:type="gramEnd"/>
            <w:r w:rsidRPr="0007406C">
              <w:t>/</w:t>
            </w:r>
            <w:proofErr w:type="spellStart"/>
            <w:r w:rsidRPr="0007406C">
              <w:t>п</w:t>
            </w:r>
            <w:proofErr w:type="spellEnd"/>
          </w:p>
        </w:tc>
        <w:tc>
          <w:tcPr>
            <w:tcW w:w="2370" w:type="dxa"/>
          </w:tcPr>
          <w:p w:rsidR="00874AE2" w:rsidRPr="0007406C" w:rsidRDefault="00874AE2" w:rsidP="00C472DF">
            <w:pPr>
              <w:spacing w:line="280" w:lineRule="exact"/>
              <w:jc w:val="center"/>
            </w:pPr>
            <w:r w:rsidRPr="0007406C">
              <w:t>Наименование</w:t>
            </w:r>
          </w:p>
        </w:tc>
        <w:tc>
          <w:tcPr>
            <w:tcW w:w="6054" w:type="dxa"/>
          </w:tcPr>
          <w:p w:rsidR="00874AE2" w:rsidRPr="0007406C" w:rsidRDefault="00874AE2" w:rsidP="00C472DF">
            <w:pPr>
              <w:spacing w:line="280" w:lineRule="exact"/>
              <w:jc w:val="center"/>
            </w:pPr>
            <w:r w:rsidRPr="0007406C">
              <w:t>Показатели, значение показателей</w:t>
            </w:r>
          </w:p>
        </w:tc>
        <w:tc>
          <w:tcPr>
            <w:tcW w:w="741" w:type="dxa"/>
            <w:vAlign w:val="center"/>
          </w:tcPr>
          <w:p w:rsidR="00874AE2" w:rsidRPr="0007406C" w:rsidRDefault="00874AE2" w:rsidP="00C472DF">
            <w:pPr>
              <w:spacing w:line="280" w:lineRule="exact"/>
              <w:jc w:val="center"/>
            </w:pPr>
            <w:r w:rsidRPr="0007406C">
              <w:t>Ед.</w:t>
            </w:r>
          </w:p>
          <w:p w:rsidR="00874AE2" w:rsidRPr="0007406C" w:rsidRDefault="00874AE2" w:rsidP="00C472DF">
            <w:pPr>
              <w:spacing w:line="280" w:lineRule="exact"/>
              <w:jc w:val="center"/>
            </w:pPr>
            <w:proofErr w:type="spellStart"/>
            <w:r w:rsidRPr="0007406C">
              <w:t>изм</w:t>
            </w:r>
            <w:proofErr w:type="spellEnd"/>
            <w:r w:rsidRPr="0007406C">
              <w:t>.</w:t>
            </w:r>
          </w:p>
        </w:tc>
        <w:tc>
          <w:tcPr>
            <w:tcW w:w="677" w:type="dxa"/>
            <w:vAlign w:val="center"/>
          </w:tcPr>
          <w:p w:rsidR="00874AE2" w:rsidRPr="0007406C" w:rsidRDefault="00874AE2" w:rsidP="00C472DF">
            <w:pPr>
              <w:spacing w:line="280" w:lineRule="exact"/>
              <w:jc w:val="center"/>
            </w:pPr>
            <w:r w:rsidRPr="0007406C">
              <w:t>Кол-во</w:t>
            </w:r>
          </w:p>
        </w:tc>
      </w:tr>
      <w:tr w:rsidR="006D3FF2" w:rsidRPr="005F4852" w:rsidTr="00874AE2">
        <w:trPr>
          <w:trHeight w:val="2336"/>
        </w:trPr>
        <w:tc>
          <w:tcPr>
            <w:tcW w:w="678" w:type="dxa"/>
            <w:vAlign w:val="center"/>
          </w:tcPr>
          <w:p w:rsidR="006D3FF2" w:rsidRPr="0007406C" w:rsidRDefault="006D3FF2" w:rsidP="00C472DF">
            <w:pPr>
              <w:spacing w:line="280" w:lineRule="exact"/>
              <w:jc w:val="center"/>
              <w:rPr>
                <w:b/>
                <w:sz w:val="24"/>
                <w:szCs w:val="24"/>
              </w:rPr>
            </w:pPr>
            <w:r w:rsidRPr="0007406C">
              <w:rPr>
                <w:b/>
                <w:sz w:val="24"/>
                <w:szCs w:val="24"/>
              </w:rPr>
              <w:t>1</w:t>
            </w:r>
          </w:p>
        </w:tc>
        <w:tc>
          <w:tcPr>
            <w:tcW w:w="2370" w:type="dxa"/>
          </w:tcPr>
          <w:p w:rsidR="006D3FF2" w:rsidRPr="0007406C" w:rsidRDefault="00B949BD" w:rsidP="00C472DF">
            <w:r w:rsidRPr="00B949BD">
              <w:t>Электрод в форме большой петли, угловой 60°</w:t>
            </w:r>
          </w:p>
        </w:tc>
        <w:tc>
          <w:tcPr>
            <w:tcW w:w="6054" w:type="dxa"/>
          </w:tcPr>
          <w:p w:rsidR="006D3FF2" w:rsidRPr="006A179B" w:rsidRDefault="00B949BD" w:rsidP="00B55FDB">
            <w:r w:rsidRPr="00B949BD">
              <w:t xml:space="preserve">Биполярный электрод большая петля должна быть угловая 60°. Активный элемент (петля) должен быть из вольфрама. Биполярная петля должна иметь два стержня </w:t>
            </w:r>
            <w:proofErr w:type="spellStart"/>
            <w:r w:rsidRPr="00B949BD">
              <w:t>коннектора</w:t>
            </w:r>
            <w:proofErr w:type="spellEnd"/>
            <w:r w:rsidRPr="00B949BD">
              <w:t xml:space="preserve"> при </w:t>
            </w:r>
            <w:proofErr w:type="gramStart"/>
            <w:r w:rsidRPr="00B949BD">
              <w:t>помощи</w:t>
            </w:r>
            <w:proofErr w:type="gramEnd"/>
            <w:r w:rsidRPr="00B949BD">
              <w:t xml:space="preserve"> которых подключаются к рабочей части </w:t>
            </w:r>
            <w:proofErr w:type="spellStart"/>
            <w:r w:rsidRPr="00B949BD">
              <w:t>резектоскопа</w:t>
            </w:r>
            <w:proofErr w:type="spellEnd"/>
            <w:r w:rsidRPr="00B949BD">
              <w:t xml:space="preserve">. Нейтральный электрод должен быть на стержне </w:t>
            </w:r>
            <w:proofErr w:type="spellStart"/>
            <w:r w:rsidRPr="00B949BD">
              <w:t>коннекторе</w:t>
            </w:r>
            <w:proofErr w:type="spellEnd"/>
            <w:r w:rsidRPr="00B949BD">
              <w:t xml:space="preserve"> не в рабочей зоне петли. Петля должна выдерживать температуру стерилизации не менее 134</w:t>
            </w:r>
            <w:proofErr w:type="gramStart"/>
            <w:r w:rsidRPr="00B949BD">
              <w:t>°С</w:t>
            </w:r>
            <w:proofErr w:type="gramEnd"/>
            <w:r w:rsidRPr="00B949BD">
              <w:t xml:space="preserve"> и не более 137°С, нагрев в дезинфицирующем растворе не менее 90°С и не более 95°С. Гарантированный срок должен быть не менее 2 циклов стерилизации. </w:t>
            </w:r>
          </w:p>
        </w:tc>
        <w:tc>
          <w:tcPr>
            <w:tcW w:w="741" w:type="dxa"/>
            <w:vAlign w:val="center"/>
          </w:tcPr>
          <w:p w:rsidR="006D3FF2" w:rsidRPr="0007406C" w:rsidRDefault="006D3FF2" w:rsidP="00C472DF">
            <w:pPr>
              <w:spacing w:line="280" w:lineRule="exact"/>
              <w:rPr>
                <w:sz w:val="24"/>
                <w:szCs w:val="24"/>
              </w:rPr>
            </w:pPr>
            <w:r w:rsidRPr="0007406C">
              <w:rPr>
                <w:sz w:val="24"/>
                <w:szCs w:val="24"/>
              </w:rPr>
              <w:t>шт.</w:t>
            </w:r>
          </w:p>
        </w:tc>
        <w:tc>
          <w:tcPr>
            <w:tcW w:w="677" w:type="dxa"/>
            <w:vAlign w:val="center"/>
          </w:tcPr>
          <w:p w:rsidR="006D3FF2" w:rsidRPr="0007406C" w:rsidRDefault="00B949BD" w:rsidP="00C472DF">
            <w:pPr>
              <w:spacing w:line="280" w:lineRule="exact"/>
              <w:jc w:val="center"/>
            </w:pPr>
            <w:r>
              <w:t>5</w:t>
            </w:r>
          </w:p>
        </w:tc>
      </w:tr>
      <w:tr w:rsidR="00B949BD" w:rsidRPr="005F4852" w:rsidTr="00874AE2">
        <w:trPr>
          <w:trHeight w:val="2336"/>
        </w:trPr>
        <w:tc>
          <w:tcPr>
            <w:tcW w:w="678" w:type="dxa"/>
            <w:vAlign w:val="center"/>
          </w:tcPr>
          <w:p w:rsidR="00B949BD" w:rsidRPr="0007406C" w:rsidRDefault="00B949BD" w:rsidP="00C472DF">
            <w:pPr>
              <w:spacing w:line="280" w:lineRule="exact"/>
              <w:jc w:val="center"/>
              <w:rPr>
                <w:b/>
              </w:rPr>
            </w:pPr>
            <w:r>
              <w:rPr>
                <w:b/>
              </w:rPr>
              <w:t>2</w:t>
            </w:r>
          </w:p>
        </w:tc>
        <w:tc>
          <w:tcPr>
            <w:tcW w:w="2370" w:type="dxa"/>
          </w:tcPr>
          <w:p w:rsidR="00B949BD" w:rsidRDefault="00B949BD" w:rsidP="00C472DF">
            <w:pPr>
              <w:rPr>
                <w:bCs/>
              </w:rPr>
            </w:pPr>
            <w:proofErr w:type="spellStart"/>
            <w:r w:rsidRPr="00B949BD">
              <w:rPr>
                <w:bCs/>
              </w:rPr>
              <w:t>Степлер</w:t>
            </w:r>
            <w:proofErr w:type="spellEnd"/>
            <w:r w:rsidRPr="00B949BD">
              <w:rPr>
                <w:bCs/>
              </w:rPr>
              <w:t xml:space="preserve"> для </w:t>
            </w:r>
            <w:proofErr w:type="spellStart"/>
            <w:r w:rsidRPr="00B949BD">
              <w:rPr>
                <w:bCs/>
              </w:rPr>
              <w:t>циркумцизии</w:t>
            </w:r>
            <w:proofErr w:type="spellEnd"/>
            <w:r w:rsidRPr="00B949BD">
              <w:rPr>
                <w:bCs/>
              </w:rPr>
              <w:t xml:space="preserve"> «Шеврон», диаметром 32 мм</w:t>
            </w:r>
          </w:p>
        </w:tc>
        <w:tc>
          <w:tcPr>
            <w:tcW w:w="6054" w:type="dxa"/>
          </w:tcPr>
          <w:p w:rsidR="00B949BD" w:rsidRDefault="00B949BD" w:rsidP="005059BD">
            <w:proofErr w:type="spellStart"/>
            <w:r w:rsidRPr="00B949BD">
              <w:t>Степлер</w:t>
            </w:r>
            <w:proofErr w:type="spellEnd"/>
            <w:r w:rsidRPr="00B949BD">
              <w:t xml:space="preserve"> для </w:t>
            </w:r>
            <w:proofErr w:type="spellStart"/>
            <w:r w:rsidRPr="00B949BD">
              <w:t>циркумцизио</w:t>
            </w:r>
            <w:proofErr w:type="spellEnd"/>
            <w:r w:rsidRPr="00B949BD">
              <w:t xml:space="preserve"> должен быть одноразовый. Диаметр резания должен быть не менее 32 мм и не более 33 мм. Высота скобы должна быть не менее 3 мм и не более 4 мм. Количество скоб должно быть не менее 22 шт. и не более 24 шт. Масса изделия должна быть не менее 148 г и не более 180 г. Лезвие ножа должно быть острое без зазубрин, должно быть без трещин, должно быть без выкрошенных мест и вмятин. Режущее усилие должно быть не более 0,8 Н. Анастомоз выдерживает давление не менее 3,6 кПа и не должен иметь утечек и разрывов. Изделие должно быть устойчиво к коррозии. Скобы должны быть изготовлены из </w:t>
            </w:r>
            <w:proofErr w:type="gramStart"/>
            <w:r w:rsidRPr="00B949BD">
              <w:t>нержавеющий</w:t>
            </w:r>
            <w:proofErr w:type="gramEnd"/>
            <w:r w:rsidRPr="00B949BD">
              <w:t xml:space="preserve"> стали. Устройство должно быть стерильным. Срок службы должен составлять не менее чем три года после стерилизации. Хранение должно быть при температуре от 5ºC и до 45ºC. </w:t>
            </w:r>
            <w:proofErr w:type="spellStart"/>
            <w:proofErr w:type="gramStart"/>
            <w:r w:rsidRPr="00B949BD">
              <w:t>Степлер</w:t>
            </w:r>
            <w:proofErr w:type="spellEnd"/>
            <w:r w:rsidRPr="00B949BD">
              <w:t xml:space="preserve"> должен состоять из Наковальни, Крышка протектора, Фиксирующая рукоятка, Кольцо безопасности, Трубка, Регулировочная ручка, Картридж, Лезвие, скобы.</w:t>
            </w:r>
            <w:proofErr w:type="gramEnd"/>
            <w:r w:rsidRPr="00B949BD">
              <w:t xml:space="preserve"> Должен быть предназначен для использования у одного пациента. Не подлежит повторной стерилизации. Должен поставляться </w:t>
            </w:r>
            <w:proofErr w:type="gramStart"/>
            <w:r w:rsidRPr="00B949BD">
              <w:t>заряженным</w:t>
            </w:r>
            <w:proofErr w:type="gramEnd"/>
            <w:r w:rsidRPr="00B949BD">
              <w:t>, стерильным.</w:t>
            </w:r>
          </w:p>
        </w:tc>
        <w:tc>
          <w:tcPr>
            <w:tcW w:w="741" w:type="dxa"/>
            <w:vAlign w:val="center"/>
          </w:tcPr>
          <w:p w:rsidR="00B949BD" w:rsidRPr="0007406C" w:rsidRDefault="00B949BD" w:rsidP="00C472DF">
            <w:pPr>
              <w:spacing w:line="280" w:lineRule="exact"/>
            </w:pPr>
            <w:proofErr w:type="spellStart"/>
            <w:proofErr w:type="gramStart"/>
            <w:r>
              <w:t>шт</w:t>
            </w:r>
            <w:proofErr w:type="spellEnd"/>
            <w:proofErr w:type="gramEnd"/>
          </w:p>
        </w:tc>
        <w:tc>
          <w:tcPr>
            <w:tcW w:w="677" w:type="dxa"/>
            <w:vAlign w:val="center"/>
          </w:tcPr>
          <w:p w:rsidR="00B949BD" w:rsidRDefault="00B949BD" w:rsidP="00C472DF">
            <w:pPr>
              <w:spacing w:line="280" w:lineRule="exact"/>
              <w:jc w:val="center"/>
            </w:pPr>
            <w:r>
              <w:t>5</w:t>
            </w:r>
          </w:p>
        </w:tc>
      </w:tr>
      <w:tr w:rsidR="00B949BD" w:rsidRPr="005F4852" w:rsidTr="00874AE2">
        <w:trPr>
          <w:trHeight w:val="2336"/>
        </w:trPr>
        <w:tc>
          <w:tcPr>
            <w:tcW w:w="678" w:type="dxa"/>
            <w:vAlign w:val="center"/>
          </w:tcPr>
          <w:p w:rsidR="00B949BD" w:rsidRPr="0007406C" w:rsidRDefault="00B949BD" w:rsidP="00C472DF">
            <w:pPr>
              <w:spacing w:line="280" w:lineRule="exact"/>
              <w:jc w:val="center"/>
              <w:rPr>
                <w:b/>
              </w:rPr>
            </w:pPr>
            <w:r>
              <w:rPr>
                <w:b/>
              </w:rPr>
              <w:t>3</w:t>
            </w:r>
          </w:p>
        </w:tc>
        <w:tc>
          <w:tcPr>
            <w:tcW w:w="2370" w:type="dxa"/>
          </w:tcPr>
          <w:p w:rsidR="00B949BD" w:rsidRDefault="00B949BD" w:rsidP="00B949BD">
            <w:pPr>
              <w:rPr>
                <w:bCs/>
              </w:rPr>
            </w:pPr>
            <w:proofErr w:type="spellStart"/>
            <w:r w:rsidRPr="00B949BD">
              <w:rPr>
                <w:bCs/>
              </w:rPr>
              <w:t>Степлер</w:t>
            </w:r>
            <w:proofErr w:type="spellEnd"/>
            <w:r w:rsidRPr="00B949BD">
              <w:rPr>
                <w:bCs/>
              </w:rPr>
              <w:t xml:space="preserve"> для </w:t>
            </w:r>
            <w:proofErr w:type="spellStart"/>
            <w:r w:rsidRPr="00B949BD">
              <w:rPr>
                <w:bCs/>
              </w:rPr>
              <w:t>циркумцизии</w:t>
            </w:r>
            <w:proofErr w:type="spellEnd"/>
            <w:r w:rsidRPr="00B949BD">
              <w:rPr>
                <w:bCs/>
              </w:rPr>
              <w:t xml:space="preserve"> "ШЕВРОН",</w:t>
            </w:r>
            <w:r>
              <w:rPr>
                <w:bCs/>
              </w:rPr>
              <w:t xml:space="preserve"> </w:t>
            </w:r>
            <w:r w:rsidRPr="00B949BD">
              <w:rPr>
                <w:bCs/>
              </w:rPr>
              <w:t>диаметром 29</w:t>
            </w:r>
            <w:r>
              <w:rPr>
                <w:bCs/>
              </w:rPr>
              <w:t>мм</w:t>
            </w:r>
          </w:p>
        </w:tc>
        <w:tc>
          <w:tcPr>
            <w:tcW w:w="6054" w:type="dxa"/>
          </w:tcPr>
          <w:p w:rsidR="00B949BD" w:rsidRDefault="00B949BD" w:rsidP="005059BD">
            <w:proofErr w:type="spellStart"/>
            <w:r w:rsidRPr="00B949BD">
              <w:t>Степлер</w:t>
            </w:r>
            <w:proofErr w:type="spellEnd"/>
            <w:r w:rsidRPr="00B949BD">
              <w:t xml:space="preserve"> для </w:t>
            </w:r>
            <w:proofErr w:type="spellStart"/>
            <w:r w:rsidRPr="00B949BD">
              <w:t>циркумцизио</w:t>
            </w:r>
            <w:proofErr w:type="spellEnd"/>
            <w:r w:rsidRPr="00B949BD">
              <w:t xml:space="preserve"> должен быть одноразовый. Диаметр резания должен быть не менее 29 мм и не более 31 мм. Высота скобы должна быть не менее 3 мм и не более 4 мм. Количество скоб должно быть не менее 19 шт. и не более 21 шт. Масса изделия должна быть не менее 148 г и не более 180 г. Лезвие ножа должно быть острое без зазубрин, должно быть без трещин, должно быть без выкрошенных мест и вмятин. Режущее усилие должно быть не более 0,8 Н. Анастомоз выдерживает давление не менее 3,6 кПа и не должен иметь утечек и разрывов. Изделие должно быть устойчиво к коррозии. Скобы должны быть изготовлены из </w:t>
            </w:r>
            <w:proofErr w:type="gramStart"/>
            <w:r w:rsidRPr="00B949BD">
              <w:t>нержавеющий</w:t>
            </w:r>
            <w:proofErr w:type="gramEnd"/>
            <w:r w:rsidRPr="00B949BD">
              <w:t xml:space="preserve"> стали. Устройство должно быть стерильным. Срок службы должен составлять не менее чем три года после стерилизации. Хранение должно быть при температуре от 5ºC и до 45ºC. </w:t>
            </w:r>
            <w:proofErr w:type="spellStart"/>
            <w:proofErr w:type="gramStart"/>
            <w:r w:rsidRPr="00B949BD">
              <w:t>Степлер</w:t>
            </w:r>
            <w:proofErr w:type="spellEnd"/>
            <w:r w:rsidRPr="00B949BD">
              <w:t xml:space="preserve"> должен состоять из Наковальни, Крышка протектора, Фиксирующая рукоятка, Кольцо безопасности, Трубка, Регулировочная ручка, Картридж, Лезвие, скобы.</w:t>
            </w:r>
            <w:proofErr w:type="gramEnd"/>
            <w:r w:rsidRPr="00B949BD">
              <w:t xml:space="preserve"> Должен быть предназначен для использования у одного пациента. Не подлежит повторной стерилизации. Должен поставляться </w:t>
            </w:r>
            <w:proofErr w:type="gramStart"/>
            <w:r w:rsidRPr="00B949BD">
              <w:t>заряженным</w:t>
            </w:r>
            <w:proofErr w:type="gramEnd"/>
            <w:r w:rsidRPr="00B949BD">
              <w:t>, стерильным.</w:t>
            </w:r>
          </w:p>
        </w:tc>
        <w:tc>
          <w:tcPr>
            <w:tcW w:w="741" w:type="dxa"/>
            <w:vAlign w:val="center"/>
          </w:tcPr>
          <w:p w:rsidR="00B949BD" w:rsidRPr="0007406C" w:rsidRDefault="00B949BD" w:rsidP="00C472DF">
            <w:pPr>
              <w:spacing w:line="280" w:lineRule="exact"/>
            </w:pPr>
            <w:proofErr w:type="spellStart"/>
            <w:proofErr w:type="gramStart"/>
            <w:r>
              <w:t>шт</w:t>
            </w:r>
            <w:proofErr w:type="spellEnd"/>
            <w:proofErr w:type="gramEnd"/>
          </w:p>
        </w:tc>
        <w:tc>
          <w:tcPr>
            <w:tcW w:w="677" w:type="dxa"/>
            <w:vAlign w:val="center"/>
          </w:tcPr>
          <w:p w:rsidR="00B949BD" w:rsidRDefault="00B949BD" w:rsidP="00C472DF">
            <w:pPr>
              <w:spacing w:line="280" w:lineRule="exact"/>
              <w:jc w:val="center"/>
            </w:pPr>
            <w:r>
              <w:t>5</w:t>
            </w:r>
          </w:p>
        </w:tc>
      </w:tr>
      <w:tr w:rsidR="00B949BD" w:rsidRPr="005F4852" w:rsidTr="00874AE2">
        <w:trPr>
          <w:trHeight w:val="2336"/>
        </w:trPr>
        <w:tc>
          <w:tcPr>
            <w:tcW w:w="678" w:type="dxa"/>
            <w:vAlign w:val="center"/>
          </w:tcPr>
          <w:p w:rsidR="00B949BD" w:rsidRPr="0007406C" w:rsidRDefault="00B949BD" w:rsidP="00C472DF">
            <w:pPr>
              <w:spacing w:line="280" w:lineRule="exact"/>
              <w:jc w:val="center"/>
              <w:rPr>
                <w:b/>
              </w:rPr>
            </w:pPr>
            <w:r>
              <w:rPr>
                <w:b/>
              </w:rPr>
              <w:lastRenderedPageBreak/>
              <w:t>4</w:t>
            </w:r>
          </w:p>
        </w:tc>
        <w:tc>
          <w:tcPr>
            <w:tcW w:w="2370" w:type="dxa"/>
          </w:tcPr>
          <w:p w:rsidR="00B949BD" w:rsidRDefault="00B949BD" w:rsidP="00C472DF">
            <w:pPr>
              <w:rPr>
                <w:bCs/>
              </w:rPr>
            </w:pPr>
            <w:r w:rsidRPr="00B949BD">
              <w:rPr>
                <w:bCs/>
              </w:rPr>
              <w:t>СТЕПЛЕР КОЖНЫЙ ОДНОРАЗОВЫЙ "ШЕВРОН"</w:t>
            </w:r>
            <w:r>
              <w:rPr>
                <w:bCs/>
              </w:rPr>
              <w:t xml:space="preserve"> </w:t>
            </w:r>
          </w:p>
        </w:tc>
        <w:tc>
          <w:tcPr>
            <w:tcW w:w="6054" w:type="dxa"/>
          </w:tcPr>
          <w:p w:rsidR="00B949BD" w:rsidRDefault="00B949BD" w:rsidP="005059BD">
            <w:r w:rsidRPr="00B949BD">
              <w:t xml:space="preserve">Механический сшивающий аппарат должен быть пистолетного типа.  Аппарат должен быть предназначен для закрытия операционных ран на коже при различных хирургических вмешательствах. Должен быть прозрачный картридж для визуализации наличия скоб. На инструмент должна быть нанесена шкала количества скоб. Количество скоб должно быть не менее 35 и не более 45. Скобы должны быть изготовлены из биологически совместимого материала - нержавеющей стали. Длина скоб перед формированием должна быть не менее 13 мм и не более 15 мм. Размер закрытой скобы должен быть не менее 6,0*4,5 мм и не более 7,0*5,0 мм. На носовой части инструмента должен быть маркер для правильной центровки инструмента на разрезе. Инструмент должен поставляться </w:t>
            </w:r>
            <w:proofErr w:type="gramStart"/>
            <w:r w:rsidRPr="00B949BD">
              <w:t>стерильным</w:t>
            </w:r>
            <w:proofErr w:type="gramEnd"/>
            <w:r w:rsidRPr="00B949BD">
              <w:t>. Должен быть предназначен для однократного использования.</w:t>
            </w:r>
          </w:p>
        </w:tc>
        <w:tc>
          <w:tcPr>
            <w:tcW w:w="741" w:type="dxa"/>
            <w:vAlign w:val="center"/>
          </w:tcPr>
          <w:p w:rsidR="00B949BD" w:rsidRPr="0007406C" w:rsidRDefault="00C472DF" w:rsidP="00C472DF">
            <w:pPr>
              <w:spacing w:line="280" w:lineRule="exact"/>
            </w:pPr>
            <w:proofErr w:type="spellStart"/>
            <w:proofErr w:type="gramStart"/>
            <w:r>
              <w:t>шт</w:t>
            </w:r>
            <w:proofErr w:type="spellEnd"/>
            <w:proofErr w:type="gramEnd"/>
          </w:p>
        </w:tc>
        <w:tc>
          <w:tcPr>
            <w:tcW w:w="677" w:type="dxa"/>
            <w:vAlign w:val="center"/>
          </w:tcPr>
          <w:p w:rsidR="00B949BD" w:rsidRDefault="00B949BD" w:rsidP="00C472DF">
            <w:pPr>
              <w:spacing w:line="280" w:lineRule="exact"/>
              <w:jc w:val="center"/>
            </w:pPr>
            <w:r>
              <w:t>5</w:t>
            </w:r>
          </w:p>
        </w:tc>
      </w:tr>
    </w:tbl>
    <w:p w:rsidR="00300560" w:rsidRDefault="00300560">
      <w:pPr>
        <w:rPr>
          <w:sz w:val="20"/>
          <w:szCs w:val="20"/>
        </w:rPr>
      </w:pPr>
    </w:p>
    <w:p w:rsidR="00300560" w:rsidRDefault="00300560">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6"/>
        <w:gridCol w:w="5859"/>
      </w:tblGrid>
      <w:tr w:rsidR="0020450D" w:rsidRPr="00FC66CF" w:rsidTr="00300560">
        <w:tc>
          <w:tcPr>
            <w:tcW w:w="10915" w:type="dxa"/>
            <w:gridSpan w:val="2"/>
          </w:tcPr>
          <w:p w:rsidR="0020450D" w:rsidRPr="00215A1B" w:rsidRDefault="0020450D" w:rsidP="005059BD">
            <w:pPr>
              <w:pStyle w:val="a5"/>
              <w:numPr>
                <w:ilvl w:val="0"/>
                <w:numId w:val="5"/>
              </w:numPr>
              <w:jc w:val="both"/>
              <w:rPr>
                <w:rFonts w:eastAsia="Calibri"/>
              </w:rPr>
            </w:pPr>
            <w:r w:rsidRPr="00B7759F">
              <w:rPr>
                <w:rFonts w:eastAsia="Calibri"/>
                <w:b/>
              </w:rPr>
              <w:t xml:space="preserve">Начальная максимальная цена: </w:t>
            </w:r>
            <w:r w:rsidR="00B7759F" w:rsidRPr="00B7759F">
              <w:t>Начальная (максимальная) цена договора  включает в себя: стоимость товара, стоимость тары (упаковки), транспортные расходы,</w:t>
            </w:r>
            <w:r w:rsidR="00B7759F" w:rsidRPr="00B7759F">
              <w:rPr>
                <w:iCs/>
              </w:rPr>
              <w:t xml:space="preserve"> </w:t>
            </w:r>
            <w:r w:rsidR="00B7759F" w:rsidRPr="00B7759F">
              <w:t>погрузо-разгрузочные расходы,</w:t>
            </w:r>
            <w:r w:rsidR="00B7759F" w:rsidRPr="00B7759F">
              <w:rPr>
                <w:iCs/>
              </w:rPr>
              <w:t xml:space="preserve">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r w:rsidRPr="00B7759F">
              <w:rPr>
                <w:iCs/>
              </w:rPr>
              <w:t>.</w:t>
            </w:r>
          </w:p>
        </w:tc>
      </w:tr>
      <w:tr w:rsidR="0020450D" w:rsidRPr="00F652ED" w:rsidTr="00300560">
        <w:tc>
          <w:tcPr>
            <w:tcW w:w="10915" w:type="dxa"/>
            <w:gridSpan w:val="2"/>
          </w:tcPr>
          <w:p w:rsidR="0020450D" w:rsidRPr="003E40B4" w:rsidRDefault="0020450D" w:rsidP="009159CA">
            <w:pPr>
              <w:numPr>
                <w:ilvl w:val="0"/>
                <w:numId w:val="1"/>
              </w:numPr>
              <w:suppressAutoHyphens/>
              <w:ind w:left="0"/>
              <w:rPr>
                <w:rFonts w:eastAsia="Calibri"/>
                <w:b/>
              </w:rPr>
            </w:pPr>
            <w:r>
              <w:rPr>
                <w:rFonts w:eastAsia="Calibri"/>
                <w:b/>
              </w:rPr>
              <w:t xml:space="preserve">2.     </w:t>
            </w:r>
            <w:r w:rsidRPr="003E40B4">
              <w:rPr>
                <w:rFonts w:eastAsia="Calibri"/>
                <w:b/>
              </w:rPr>
              <w:t>Требования к безопасности, качеству, техническим, функциональным  характеристикам товара</w:t>
            </w:r>
          </w:p>
        </w:tc>
      </w:tr>
      <w:tr w:rsidR="0020450D" w:rsidRPr="00F652ED" w:rsidTr="00300560">
        <w:tc>
          <w:tcPr>
            <w:tcW w:w="10915" w:type="dxa"/>
            <w:gridSpan w:val="2"/>
          </w:tcPr>
          <w:p w:rsidR="0020450D" w:rsidRPr="003E40B4" w:rsidRDefault="0020450D" w:rsidP="009159CA">
            <w:pPr>
              <w:jc w:val="both"/>
            </w:pPr>
            <w:r w:rsidRPr="003E40B4">
              <w:rPr>
                <w:rFonts w:eastAsia="Calibri"/>
              </w:rPr>
              <w:t>2.1.</w:t>
            </w:r>
            <w:r w:rsidRPr="003E40B4">
              <w:t xml:space="preserve"> Качество товара должно соответствовать 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также требованиям Заказчика, установленным в документации о закупке и проекте договора.</w:t>
            </w:r>
          </w:p>
          <w:p w:rsidR="0020450D" w:rsidRPr="003E40B4" w:rsidRDefault="0020450D" w:rsidP="009159CA">
            <w:pPr>
              <w:jc w:val="both"/>
            </w:pPr>
            <w:r w:rsidRPr="003E40B4">
              <w:t>Подтверждением качества и иных характеристик товара являются:</w:t>
            </w:r>
          </w:p>
          <w:p w:rsidR="0020450D" w:rsidRPr="003E40B4" w:rsidRDefault="0020450D" w:rsidP="009159CA">
            <w:pPr>
              <w:jc w:val="both"/>
            </w:pPr>
            <w:r w:rsidRPr="003E40B4">
              <w:t>- копии регистрационных удостоверений установленного образца на товар;</w:t>
            </w:r>
          </w:p>
          <w:p w:rsidR="0020450D" w:rsidRPr="003E40B4" w:rsidRDefault="0020450D" w:rsidP="009159CA">
            <w:pPr>
              <w:jc w:val="both"/>
            </w:pPr>
            <w:r w:rsidRPr="003E40B4">
              <w:t>- сертификаты соответствия (декларация о соответствии), свидетельства о государственной регистрации, паспорта качества товара (в случае, если поставляемый товар подлежит обязательной сертификации).</w:t>
            </w:r>
          </w:p>
          <w:p w:rsidR="0020450D" w:rsidRPr="003E40B4" w:rsidRDefault="0020450D" w:rsidP="009159CA">
            <w:pPr>
              <w:widowControl w:val="0"/>
              <w:jc w:val="both"/>
            </w:pPr>
            <w:r w:rsidRPr="003E40B4">
              <w:t>2.2. Поставляемый товар должен иметь действующее регистрационное удостоверение, выданное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20450D" w:rsidRPr="003E40B4" w:rsidRDefault="0020450D" w:rsidP="009159CA">
            <w:pPr>
              <w:pStyle w:val="a3"/>
              <w:widowControl w:val="0"/>
              <w:ind w:firstLine="0"/>
              <w:rPr>
                <w:sz w:val="24"/>
              </w:rPr>
            </w:pPr>
            <w:r w:rsidRPr="003E40B4">
              <w:rPr>
                <w:b/>
                <w:sz w:val="24"/>
              </w:rPr>
              <w:t>Основание:</w:t>
            </w:r>
            <w:r w:rsidRPr="003E40B4">
              <w:rPr>
                <w:sz w:val="24"/>
              </w:rPr>
              <w:t xml:space="preserve"> </w:t>
            </w:r>
          </w:p>
          <w:p w:rsidR="0020450D" w:rsidRPr="003E40B4" w:rsidRDefault="0020450D" w:rsidP="009159CA">
            <w:pPr>
              <w:pStyle w:val="a5"/>
              <w:numPr>
                <w:ilvl w:val="0"/>
                <w:numId w:val="2"/>
              </w:numPr>
              <w:ind w:left="0" w:firstLine="284"/>
              <w:contextualSpacing/>
              <w:jc w:val="both"/>
            </w:pPr>
            <w:r w:rsidRPr="003E40B4">
              <w:t>ст. 38 Федерального закона РФ от 21.11.2011 № 323-ФЗ «Об основах охраны здоровья граждан»;</w:t>
            </w:r>
          </w:p>
          <w:p w:rsidR="0020450D" w:rsidRDefault="0020450D" w:rsidP="009159CA">
            <w:pPr>
              <w:pStyle w:val="a5"/>
              <w:numPr>
                <w:ilvl w:val="0"/>
                <w:numId w:val="2"/>
              </w:numPr>
              <w:ind w:left="0" w:firstLine="284"/>
              <w:contextualSpacing/>
              <w:jc w:val="both"/>
            </w:pPr>
            <w:r w:rsidRPr="003E40B4">
              <w:t>Постановление Правительства Российской Федерации от 27.12.2012 № 1416 «Об утверждении правил государственной ре</w:t>
            </w:r>
            <w:r>
              <w:t>гистрации медицинских изделий».</w:t>
            </w:r>
          </w:p>
          <w:p w:rsidR="0020450D" w:rsidRPr="003E40B4" w:rsidRDefault="0020450D" w:rsidP="009159CA">
            <w:pPr>
              <w:pStyle w:val="a5"/>
              <w:numPr>
                <w:ilvl w:val="0"/>
                <w:numId w:val="2"/>
              </w:numPr>
              <w:ind w:left="0" w:firstLine="284"/>
              <w:contextualSpacing/>
              <w:jc w:val="both"/>
            </w:pPr>
            <w:r w:rsidRPr="003E40B4">
              <w:t xml:space="preserve">   </w:t>
            </w:r>
            <w:r w:rsidRPr="003E40B4">
              <w:rPr>
                <w:color w:val="000000"/>
              </w:rPr>
              <w:t>Поставляемый товар должен иметь декларацию о соответствии, сертификат соответствия. Требование о наличии сертификатов, деклараций в отношении продукции установлено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20450D" w:rsidRPr="003E40B4" w:rsidRDefault="0020450D" w:rsidP="009159CA">
            <w:pPr>
              <w:jc w:val="both"/>
            </w:pPr>
            <w:r w:rsidRPr="003E40B4">
              <w:t>2.</w:t>
            </w:r>
            <w:r>
              <w:t>3</w:t>
            </w:r>
            <w:r w:rsidRPr="003E40B4">
              <w:t>. Поставляемый Товар должен соответствовать требованиям Заказчика.</w:t>
            </w:r>
          </w:p>
          <w:p w:rsidR="0020450D" w:rsidRPr="003E40B4" w:rsidRDefault="0020450D" w:rsidP="009159CA">
            <w:pPr>
              <w:jc w:val="both"/>
            </w:pPr>
            <w:r w:rsidRPr="003E40B4">
              <w:t>2.</w:t>
            </w:r>
            <w:r>
              <w:t>4</w:t>
            </w:r>
            <w:r w:rsidRPr="003E40B4">
              <w:t xml:space="preserve">. Поставляемый товар должен быть новым (который не был в употреблении). Поставляемый товар должен находиться у Поставщика на законных основаниях, быть свободным от прав третьих лиц, не являться предметом спора, не находиться в залоге, под арестом или иным обременением. </w:t>
            </w:r>
          </w:p>
          <w:p w:rsidR="0020450D" w:rsidRPr="003E40B4" w:rsidRDefault="0020450D" w:rsidP="009159CA">
            <w:pPr>
              <w:jc w:val="both"/>
              <w:rPr>
                <w:spacing w:val="1"/>
              </w:rPr>
            </w:pPr>
            <w:r w:rsidRPr="003E40B4">
              <w:t>2.</w:t>
            </w:r>
            <w:r>
              <w:t>5</w:t>
            </w:r>
            <w:r w:rsidRPr="003E40B4">
              <w:t xml:space="preserve">. Поставка товара должна сопровождаться </w:t>
            </w:r>
            <w:r w:rsidRPr="003E40B4">
              <w:rPr>
                <w:spacing w:val="1"/>
              </w:rPr>
              <w:t>копиями действующих: регистрационных удостоверений, деклараций о соответствии/сертификатов соответствия, выданных органом по сертификации Российской Федерации.</w:t>
            </w:r>
          </w:p>
          <w:p w:rsidR="0020450D" w:rsidRPr="003E40B4" w:rsidRDefault="0020450D" w:rsidP="009159CA">
            <w:pPr>
              <w:jc w:val="both"/>
              <w:rPr>
                <w:bCs/>
              </w:rPr>
            </w:pPr>
            <w:r w:rsidRPr="003E40B4">
              <w:rPr>
                <w:bCs/>
              </w:rPr>
              <w:t>2.</w:t>
            </w:r>
            <w:r>
              <w:rPr>
                <w:bCs/>
              </w:rPr>
              <w:t>6</w:t>
            </w:r>
            <w:r w:rsidRPr="003E40B4">
              <w:rPr>
                <w:bCs/>
              </w:rPr>
              <w:t>. Тара и упаковка товара:</w:t>
            </w:r>
          </w:p>
          <w:p w:rsidR="0020450D" w:rsidRPr="003E40B4" w:rsidRDefault="0020450D" w:rsidP="0020450D">
            <w:pPr>
              <w:pStyle w:val="ConsPlusNormal"/>
              <w:tabs>
                <w:tab w:val="left" w:pos="360"/>
              </w:tabs>
              <w:jc w:val="both"/>
              <w:rPr>
                <w:rFonts w:ascii="Times New Roman" w:hAnsi="Times New Roman"/>
                <w:b/>
                <w:sz w:val="24"/>
                <w:szCs w:val="24"/>
              </w:rPr>
            </w:pPr>
            <w:r w:rsidRPr="003E40B4">
              <w:rPr>
                <w:rFonts w:ascii="Times New Roman" w:hAnsi="Times New Roman"/>
                <w:bCs/>
                <w:sz w:val="24"/>
                <w:szCs w:val="24"/>
              </w:rPr>
              <w:t xml:space="preserve">Товар поставляется в таре изготовителя (производителя). </w:t>
            </w:r>
            <w:r w:rsidRPr="003E40B4">
              <w:rPr>
                <w:rFonts w:ascii="Times New Roman" w:hAnsi="Times New Roman"/>
                <w:sz w:val="24"/>
                <w:szCs w:val="24"/>
              </w:rPr>
              <w:t xml:space="preserve">Товар поставляется в таре и упаковке, </w:t>
            </w:r>
            <w:r w:rsidRPr="003E40B4">
              <w:rPr>
                <w:rFonts w:ascii="Times New Roman" w:hAnsi="Times New Roman"/>
                <w:sz w:val="24"/>
                <w:szCs w:val="24"/>
              </w:rPr>
              <w:lastRenderedPageBreak/>
              <w:t>соответствующей государственным стандартам, 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 Упаковка Товара должна обеспечивать его сохранность в процессе транспортировки и хранения,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до получателя. Товар должен транспортироваться с соблюдением условий хранения, предусмотренных санитарными нормами и правилами.</w:t>
            </w:r>
            <w:r w:rsidRPr="003E40B4">
              <w:rPr>
                <w:rFonts w:ascii="Times New Roman" w:hAnsi="Times New Roman"/>
                <w:bCs/>
                <w:color w:val="000000"/>
                <w:sz w:val="24"/>
                <w:szCs w:val="24"/>
              </w:rPr>
              <w:t xml:space="preserve"> </w:t>
            </w:r>
          </w:p>
        </w:tc>
      </w:tr>
      <w:tr w:rsidR="0020450D" w:rsidRPr="00F652ED" w:rsidTr="00300560">
        <w:tc>
          <w:tcPr>
            <w:tcW w:w="10915" w:type="dxa"/>
            <w:gridSpan w:val="2"/>
          </w:tcPr>
          <w:p w:rsidR="0020450D" w:rsidRPr="003E40B4" w:rsidRDefault="0020450D" w:rsidP="009159CA">
            <w:pPr>
              <w:numPr>
                <w:ilvl w:val="0"/>
                <w:numId w:val="1"/>
              </w:numPr>
              <w:suppressAutoHyphens/>
              <w:ind w:left="0" w:hanging="544"/>
              <w:rPr>
                <w:rFonts w:eastAsia="Calibri"/>
                <w:b/>
                <w:bCs/>
              </w:rPr>
            </w:pPr>
            <w:r>
              <w:rPr>
                <w:rFonts w:eastAsia="Calibri"/>
                <w:b/>
                <w:bCs/>
              </w:rPr>
              <w:lastRenderedPageBreak/>
              <w:t xml:space="preserve">3. </w:t>
            </w:r>
            <w:r w:rsidRPr="003E40B4">
              <w:rPr>
                <w:rFonts w:eastAsia="Calibri"/>
                <w:b/>
                <w:bCs/>
              </w:rPr>
              <w:t>Место, условия и порядок поставки товаров</w:t>
            </w:r>
            <w:r w:rsidRPr="003E40B4">
              <w:rPr>
                <w:rFonts w:eastAsia="Calibri"/>
              </w:rPr>
              <w:t>.</w:t>
            </w:r>
          </w:p>
        </w:tc>
      </w:tr>
      <w:tr w:rsidR="0020450D" w:rsidRPr="00F652ED" w:rsidTr="00300560">
        <w:tc>
          <w:tcPr>
            <w:tcW w:w="5056" w:type="dxa"/>
          </w:tcPr>
          <w:p w:rsidR="0020450D" w:rsidRPr="003E40B4" w:rsidRDefault="00FE3AD0" w:rsidP="009159CA">
            <w:pPr>
              <w:widowControl w:val="0"/>
              <w:rPr>
                <w:rFonts w:eastAsia="Calibri"/>
              </w:rPr>
            </w:pPr>
            <w:r>
              <w:rPr>
                <w:rFonts w:eastAsia="Calibri"/>
              </w:rPr>
              <w:t xml:space="preserve">3.1. </w:t>
            </w:r>
            <w:r w:rsidR="0020450D" w:rsidRPr="003E40B4">
              <w:rPr>
                <w:rFonts w:eastAsia="Calibri"/>
              </w:rPr>
              <w:t xml:space="preserve">Место </w:t>
            </w:r>
            <w:r w:rsidR="0020450D" w:rsidRPr="003E40B4">
              <w:rPr>
                <w:rFonts w:eastAsia="Calibri"/>
                <w:bCs/>
              </w:rPr>
              <w:t>поставки товаров</w:t>
            </w:r>
          </w:p>
        </w:tc>
        <w:tc>
          <w:tcPr>
            <w:tcW w:w="5859" w:type="dxa"/>
          </w:tcPr>
          <w:p w:rsidR="0020450D" w:rsidRPr="003E40B4" w:rsidRDefault="0020450D" w:rsidP="009159CA">
            <w:r w:rsidRPr="003E40B4">
              <w:t>г. Екатеринбург, ул. Гражданская,</w:t>
            </w:r>
            <w:r w:rsidR="00B7759F">
              <w:t xml:space="preserve"> </w:t>
            </w:r>
            <w:r w:rsidRPr="003E40B4">
              <w:t>9</w:t>
            </w:r>
          </w:p>
          <w:p w:rsidR="0020450D" w:rsidRPr="003E40B4" w:rsidRDefault="0020450D" w:rsidP="009159CA">
            <w:pPr>
              <w:rPr>
                <w:rFonts w:eastAsia="Calibri"/>
              </w:rPr>
            </w:pPr>
          </w:p>
        </w:tc>
      </w:tr>
      <w:tr w:rsidR="0020450D" w:rsidRPr="00D756E0" w:rsidTr="00300560">
        <w:tc>
          <w:tcPr>
            <w:tcW w:w="5056" w:type="dxa"/>
            <w:tcBorders>
              <w:top w:val="single" w:sz="4" w:space="0" w:color="auto"/>
              <w:left w:val="single" w:sz="4" w:space="0" w:color="auto"/>
              <w:bottom w:val="single" w:sz="4" w:space="0" w:color="auto"/>
              <w:right w:val="single" w:sz="4" w:space="0" w:color="auto"/>
            </w:tcBorders>
          </w:tcPr>
          <w:p w:rsidR="0020450D" w:rsidRPr="003E40B4" w:rsidRDefault="00FE3AD0" w:rsidP="009159CA">
            <w:pPr>
              <w:widowControl w:val="0"/>
              <w:rPr>
                <w:rFonts w:eastAsia="Calibri"/>
              </w:rPr>
            </w:pPr>
            <w:r>
              <w:rPr>
                <w:rFonts w:eastAsia="Calibri"/>
              </w:rPr>
              <w:t xml:space="preserve">3.2. </w:t>
            </w:r>
            <w:r w:rsidR="0020450D" w:rsidRPr="003E40B4">
              <w:rPr>
                <w:rFonts w:eastAsia="Calibri"/>
              </w:rPr>
              <w:t>Условия поставки товаров</w:t>
            </w:r>
          </w:p>
        </w:tc>
        <w:tc>
          <w:tcPr>
            <w:tcW w:w="5859" w:type="dxa"/>
            <w:tcBorders>
              <w:top w:val="single" w:sz="4" w:space="0" w:color="auto"/>
              <w:left w:val="single" w:sz="4" w:space="0" w:color="auto"/>
              <w:bottom w:val="single" w:sz="4" w:space="0" w:color="auto"/>
              <w:right w:val="single" w:sz="4" w:space="0" w:color="auto"/>
            </w:tcBorders>
          </w:tcPr>
          <w:p w:rsidR="0020450D" w:rsidRPr="003E40B4" w:rsidRDefault="0020450D" w:rsidP="009159CA">
            <w:pPr>
              <w:rPr>
                <w:rFonts w:eastAsia="Calibri"/>
                <w:bCs/>
              </w:rPr>
            </w:pPr>
            <w:r w:rsidRPr="003E40B4">
              <w:rPr>
                <w:rFonts w:eastAsia="Calibri"/>
                <w:bCs/>
              </w:rPr>
              <w:t>Поставщик заблаговременно не позднее, чем за 48 (сорок восемь) часов до предполагаемой даты поставки, уведомляет Покупателя о дате и времени  поставки.</w:t>
            </w:r>
          </w:p>
          <w:p w:rsidR="0020450D" w:rsidRPr="003E40B4" w:rsidRDefault="0020450D" w:rsidP="009159CA">
            <w:pPr>
              <w:rPr>
                <w:rFonts w:eastAsia="Calibri"/>
                <w:bCs/>
              </w:rPr>
            </w:pPr>
            <w:r w:rsidRPr="003E40B4">
              <w:rPr>
                <w:rFonts w:eastAsia="Calibri"/>
                <w:bCs/>
              </w:rPr>
              <w:t>Время поставки: в рабочие дни с 08:00 ч. до 15:00 ч.</w:t>
            </w:r>
          </w:p>
        </w:tc>
      </w:tr>
      <w:tr w:rsidR="0020450D" w:rsidRPr="00D756E0" w:rsidTr="00300560">
        <w:tc>
          <w:tcPr>
            <w:tcW w:w="5056" w:type="dxa"/>
            <w:tcBorders>
              <w:top w:val="single" w:sz="4" w:space="0" w:color="auto"/>
              <w:left w:val="single" w:sz="4" w:space="0" w:color="auto"/>
              <w:bottom w:val="single" w:sz="4" w:space="0" w:color="auto"/>
              <w:right w:val="single" w:sz="4" w:space="0" w:color="auto"/>
            </w:tcBorders>
          </w:tcPr>
          <w:p w:rsidR="0020450D" w:rsidRPr="003E40B4" w:rsidRDefault="00FE3AD0" w:rsidP="009159CA">
            <w:pPr>
              <w:widowControl w:val="0"/>
              <w:rPr>
                <w:rFonts w:eastAsia="Calibri"/>
              </w:rPr>
            </w:pPr>
            <w:r>
              <w:rPr>
                <w:rFonts w:eastAsia="Calibri"/>
              </w:rPr>
              <w:t xml:space="preserve">3.3. </w:t>
            </w:r>
            <w:r w:rsidR="0020450D" w:rsidRPr="003E40B4">
              <w:rPr>
                <w:rFonts w:eastAsia="Calibri"/>
              </w:rPr>
              <w:t>Сроки поставки товаров</w:t>
            </w:r>
          </w:p>
        </w:tc>
        <w:tc>
          <w:tcPr>
            <w:tcW w:w="5859" w:type="dxa"/>
            <w:tcBorders>
              <w:top w:val="single" w:sz="4" w:space="0" w:color="auto"/>
              <w:left w:val="single" w:sz="4" w:space="0" w:color="auto"/>
              <w:bottom w:val="single" w:sz="4" w:space="0" w:color="auto"/>
              <w:right w:val="single" w:sz="4" w:space="0" w:color="auto"/>
            </w:tcBorders>
          </w:tcPr>
          <w:p w:rsidR="0020450D" w:rsidRPr="00B7759F" w:rsidRDefault="00C434B5" w:rsidP="00C472DF">
            <w:pPr>
              <w:rPr>
                <w:rFonts w:eastAsia="Calibri"/>
                <w:bCs/>
              </w:rPr>
            </w:pPr>
            <w:r w:rsidRPr="00E568AD">
              <w:t xml:space="preserve">Поставщик осуществляет поставку Товара в течение </w:t>
            </w:r>
            <w:r w:rsidR="00C472DF">
              <w:t>98</w:t>
            </w:r>
            <w:r>
              <w:t xml:space="preserve"> </w:t>
            </w:r>
            <w:r w:rsidRPr="00E568AD">
              <w:t>(</w:t>
            </w:r>
            <w:r w:rsidR="006D3FF2">
              <w:t>девяноста</w:t>
            </w:r>
            <w:r w:rsidR="00C472DF">
              <w:t xml:space="preserve"> восьми</w:t>
            </w:r>
            <w:r>
              <w:t xml:space="preserve">) </w:t>
            </w:r>
            <w:r w:rsidRPr="00E568AD">
              <w:t xml:space="preserve">календарных дней </w:t>
            </w:r>
            <w:proofErr w:type="gramStart"/>
            <w:r w:rsidRPr="00E568AD">
              <w:t xml:space="preserve">с </w:t>
            </w:r>
            <w:r>
              <w:t xml:space="preserve">даты </w:t>
            </w:r>
            <w:r w:rsidRPr="00E568AD">
              <w:t xml:space="preserve"> получения</w:t>
            </w:r>
            <w:proofErr w:type="gramEnd"/>
            <w:r w:rsidRPr="00E568AD">
              <w:t xml:space="preserve"> заявки от Покупателя.  Поставщик вправе произвести досрочную поставку Товара, указанного в заявке Покупателя.  Заявка направляется  посредством автоматизированной системы заказов «Электронный ордер»</w:t>
            </w:r>
            <w:r>
              <w:t>.</w:t>
            </w:r>
          </w:p>
        </w:tc>
      </w:tr>
      <w:tr w:rsidR="0020450D" w:rsidRPr="00D756E0" w:rsidTr="00300560">
        <w:tc>
          <w:tcPr>
            <w:tcW w:w="5056" w:type="dxa"/>
            <w:tcBorders>
              <w:top w:val="single" w:sz="4" w:space="0" w:color="auto"/>
              <w:left w:val="single" w:sz="4" w:space="0" w:color="auto"/>
              <w:bottom w:val="single" w:sz="4" w:space="0" w:color="auto"/>
              <w:right w:val="single" w:sz="4" w:space="0" w:color="auto"/>
            </w:tcBorders>
          </w:tcPr>
          <w:p w:rsidR="0020450D" w:rsidRPr="003E40B4" w:rsidRDefault="0020450D" w:rsidP="009159CA">
            <w:pPr>
              <w:widowControl w:val="0"/>
              <w:ind w:firstLine="34"/>
              <w:rPr>
                <w:rFonts w:eastAsia="Calibri"/>
              </w:rPr>
            </w:pPr>
            <w:r w:rsidRPr="003E40B4">
              <w:rPr>
                <w:rFonts w:eastAsia="Calibri"/>
                <w:b/>
              </w:rPr>
              <w:t>4. Форма, сроки и порядок оплаты</w:t>
            </w:r>
          </w:p>
        </w:tc>
        <w:tc>
          <w:tcPr>
            <w:tcW w:w="5859" w:type="dxa"/>
            <w:tcBorders>
              <w:top w:val="single" w:sz="4" w:space="0" w:color="auto"/>
              <w:left w:val="single" w:sz="4" w:space="0" w:color="auto"/>
              <w:bottom w:val="single" w:sz="4" w:space="0" w:color="auto"/>
              <w:right w:val="single" w:sz="4" w:space="0" w:color="auto"/>
            </w:tcBorders>
          </w:tcPr>
          <w:p w:rsidR="0020450D" w:rsidRPr="003E40B4" w:rsidRDefault="0020450D" w:rsidP="00C472DF">
            <w:pPr>
              <w:rPr>
                <w:rFonts w:eastAsia="Calibri"/>
                <w:bCs/>
              </w:rPr>
            </w:pPr>
            <w:r w:rsidRPr="003E40B4">
              <w:rPr>
                <w:rFonts w:eastAsia="Calibri"/>
                <w:bCs/>
              </w:rPr>
              <w:t xml:space="preserve">Оплата Товара (партии Товара) производится Покупателем в течение </w:t>
            </w:r>
            <w:r w:rsidR="00C472DF">
              <w:rPr>
                <w:rFonts w:eastAsia="Calibri"/>
                <w:bCs/>
              </w:rPr>
              <w:t>30</w:t>
            </w:r>
            <w:r w:rsidRPr="003E40B4">
              <w:rPr>
                <w:rFonts w:eastAsia="Calibri"/>
                <w:bCs/>
              </w:rPr>
              <w:t xml:space="preserve"> (</w:t>
            </w:r>
            <w:r w:rsidR="00C472DF">
              <w:rPr>
                <w:rFonts w:eastAsia="Calibri"/>
                <w:bCs/>
              </w:rPr>
              <w:t>тридцати</w:t>
            </w:r>
            <w:r w:rsidRPr="003E40B4">
              <w:rPr>
                <w:rFonts w:eastAsia="Calibri"/>
                <w:bCs/>
              </w:rPr>
              <w:t xml:space="preserve">) календарных дней после </w:t>
            </w:r>
            <w:r w:rsidR="006D3FF2">
              <w:rPr>
                <w:rFonts w:eastAsia="Calibri"/>
                <w:bCs/>
              </w:rPr>
              <w:t xml:space="preserve">поставки </w:t>
            </w:r>
            <w:r w:rsidRPr="003E40B4">
              <w:rPr>
                <w:rFonts w:eastAsia="Calibri"/>
                <w:bCs/>
              </w:rPr>
              <w:t>Товара</w:t>
            </w:r>
            <w:r w:rsidR="00883289">
              <w:rPr>
                <w:rFonts w:eastAsia="Calibri"/>
                <w:bCs/>
              </w:rPr>
              <w:t xml:space="preserve"> в полном объеме </w:t>
            </w:r>
            <w:r w:rsidRPr="003E40B4">
              <w:rPr>
                <w:rFonts w:eastAsia="Calibri"/>
                <w:bCs/>
              </w:rPr>
              <w:t>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на основании счета на оплату.</w:t>
            </w:r>
          </w:p>
        </w:tc>
      </w:tr>
    </w:tbl>
    <w:p w:rsidR="0020450D" w:rsidRPr="00057645" w:rsidRDefault="0020450D" w:rsidP="0020450D"/>
    <w:p w:rsidR="005E211C" w:rsidRDefault="005E211C">
      <w:pPr>
        <w:rPr>
          <w:sz w:val="20"/>
          <w:szCs w:val="20"/>
        </w:rPr>
      </w:pPr>
    </w:p>
    <w:p w:rsidR="005E211C" w:rsidRDefault="005E211C">
      <w:pPr>
        <w:rPr>
          <w:sz w:val="20"/>
          <w:szCs w:val="20"/>
        </w:rPr>
      </w:pPr>
    </w:p>
    <w:p w:rsidR="0036611B" w:rsidRPr="003216DC" w:rsidRDefault="0036611B" w:rsidP="0036611B">
      <w:pPr>
        <w:jc w:val="center"/>
        <w:rPr>
          <w:b/>
          <w:sz w:val="20"/>
          <w:szCs w:val="20"/>
        </w:rPr>
      </w:pPr>
      <w:r w:rsidRPr="003216DC">
        <w:rPr>
          <w:b/>
          <w:sz w:val="20"/>
          <w:szCs w:val="20"/>
        </w:rPr>
        <w:t>Форма заявки для заполнения</w:t>
      </w:r>
    </w:p>
    <w:p w:rsidR="0036611B" w:rsidRDefault="0036611B" w:rsidP="0036611B">
      <w:pPr>
        <w:rPr>
          <w:sz w:val="20"/>
          <w:szCs w:val="20"/>
        </w:rPr>
      </w:pP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559"/>
        <w:gridCol w:w="2410"/>
        <w:gridCol w:w="1701"/>
        <w:gridCol w:w="700"/>
        <w:gridCol w:w="733"/>
        <w:gridCol w:w="1260"/>
        <w:gridCol w:w="1125"/>
      </w:tblGrid>
      <w:tr w:rsidR="0036611B" w:rsidRPr="006E20C6" w:rsidTr="00C472DF">
        <w:trPr>
          <w:trHeight w:val="844"/>
          <w:jc w:val="center"/>
        </w:trPr>
        <w:tc>
          <w:tcPr>
            <w:tcW w:w="701" w:type="dxa"/>
            <w:shd w:val="clear" w:color="000000" w:fill="FFFFFF"/>
            <w:vAlign w:val="center"/>
          </w:tcPr>
          <w:p w:rsidR="0036611B" w:rsidRPr="006E20C6" w:rsidRDefault="0036611B" w:rsidP="00C472DF">
            <w:pPr>
              <w:jc w:val="center"/>
              <w:rPr>
                <w:bCs/>
                <w:color w:val="000000"/>
                <w:sz w:val="20"/>
                <w:szCs w:val="20"/>
              </w:rPr>
            </w:pPr>
            <w:r w:rsidRPr="006E20C6">
              <w:rPr>
                <w:bCs/>
                <w:color w:val="000000"/>
                <w:sz w:val="20"/>
                <w:szCs w:val="20"/>
              </w:rPr>
              <w:t xml:space="preserve">№ </w:t>
            </w:r>
            <w:proofErr w:type="spellStart"/>
            <w:proofErr w:type="gramStart"/>
            <w:r w:rsidRPr="006E20C6">
              <w:rPr>
                <w:bCs/>
                <w:color w:val="000000"/>
                <w:sz w:val="20"/>
                <w:szCs w:val="20"/>
              </w:rPr>
              <w:t>п</w:t>
            </w:r>
            <w:proofErr w:type="spellEnd"/>
            <w:proofErr w:type="gramEnd"/>
            <w:r w:rsidRPr="006E20C6">
              <w:rPr>
                <w:bCs/>
                <w:color w:val="000000"/>
                <w:sz w:val="20"/>
                <w:szCs w:val="20"/>
              </w:rPr>
              <w:t>/</w:t>
            </w:r>
            <w:proofErr w:type="spellStart"/>
            <w:r w:rsidRPr="006E20C6">
              <w:rPr>
                <w:bCs/>
                <w:color w:val="000000"/>
                <w:sz w:val="20"/>
                <w:szCs w:val="20"/>
              </w:rPr>
              <w:t>п</w:t>
            </w:r>
            <w:proofErr w:type="spellEnd"/>
          </w:p>
        </w:tc>
        <w:tc>
          <w:tcPr>
            <w:tcW w:w="1559" w:type="dxa"/>
            <w:shd w:val="clear" w:color="000000" w:fill="FFFFFF"/>
            <w:vAlign w:val="center"/>
          </w:tcPr>
          <w:p w:rsidR="0036611B" w:rsidRPr="006E20C6" w:rsidRDefault="0036611B" w:rsidP="00C472DF">
            <w:pPr>
              <w:jc w:val="center"/>
              <w:rPr>
                <w:bCs/>
                <w:color w:val="000000"/>
                <w:sz w:val="20"/>
                <w:szCs w:val="20"/>
              </w:rPr>
            </w:pPr>
            <w:r w:rsidRPr="006E20C6">
              <w:rPr>
                <w:sz w:val="20"/>
                <w:szCs w:val="20"/>
              </w:rPr>
              <w:t xml:space="preserve">Наименование товара </w:t>
            </w:r>
          </w:p>
        </w:tc>
        <w:tc>
          <w:tcPr>
            <w:tcW w:w="2410" w:type="dxa"/>
            <w:shd w:val="clear" w:color="000000" w:fill="FFFFFF"/>
            <w:vAlign w:val="center"/>
          </w:tcPr>
          <w:p w:rsidR="0036611B" w:rsidRPr="006E20C6" w:rsidRDefault="0036611B" w:rsidP="00C472DF">
            <w:pPr>
              <w:jc w:val="center"/>
              <w:rPr>
                <w:bCs/>
                <w:color w:val="000000"/>
                <w:sz w:val="20"/>
                <w:szCs w:val="20"/>
              </w:rPr>
            </w:pPr>
            <w:r>
              <w:rPr>
                <w:bCs/>
                <w:color w:val="000000"/>
                <w:sz w:val="20"/>
                <w:szCs w:val="20"/>
              </w:rPr>
              <w:t>Описание товара,  характеристики товара</w:t>
            </w:r>
          </w:p>
        </w:tc>
        <w:tc>
          <w:tcPr>
            <w:tcW w:w="1701" w:type="dxa"/>
            <w:shd w:val="clear" w:color="000000" w:fill="FFFFFF"/>
            <w:vAlign w:val="center"/>
          </w:tcPr>
          <w:p w:rsidR="0036611B" w:rsidRPr="00DE66E8" w:rsidRDefault="0036611B" w:rsidP="00C472DF">
            <w:pPr>
              <w:jc w:val="center"/>
              <w:rPr>
                <w:sz w:val="20"/>
                <w:szCs w:val="20"/>
              </w:rPr>
            </w:pPr>
            <w:r>
              <w:rPr>
                <w:sz w:val="20"/>
                <w:szCs w:val="20"/>
              </w:rPr>
              <w:t>Производитель, н</w:t>
            </w:r>
            <w:r w:rsidRPr="00DE66E8">
              <w:rPr>
                <w:sz w:val="20"/>
                <w:szCs w:val="20"/>
              </w:rPr>
              <w:t>аименование страны происхождения товара</w:t>
            </w:r>
          </w:p>
        </w:tc>
        <w:tc>
          <w:tcPr>
            <w:tcW w:w="700" w:type="dxa"/>
            <w:shd w:val="clear" w:color="000000" w:fill="FFFFFF"/>
            <w:vAlign w:val="center"/>
          </w:tcPr>
          <w:p w:rsidR="0036611B" w:rsidRPr="006E20C6" w:rsidRDefault="0036611B" w:rsidP="00C472DF">
            <w:pPr>
              <w:jc w:val="center"/>
              <w:rPr>
                <w:bCs/>
                <w:color w:val="000000"/>
                <w:sz w:val="20"/>
                <w:szCs w:val="20"/>
              </w:rPr>
            </w:pPr>
            <w:r w:rsidRPr="006E20C6">
              <w:rPr>
                <w:bCs/>
                <w:color w:val="000000"/>
                <w:sz w:val="20"/>
                <w:szCs w:val="20"/>
              </w:rPr>
              <w:t>Ед.</w:t>
            </w:r>
            <w:r>
              <w:rPr>
                <w:bCs/>
                <w:color w:val="000000"/>
                <w:sz w:val="20"/>
                <w:szCs w:val="20"/>
              </w:rPr>
              <w:t xml:space="preserve"> измерения</w:t>
            </w:r>
          </w:p>
        </w:tc>
        <w:tc>
          <w:tcPr>
            <w:tcW w:w="733" w:type="dxa"/>
            <w:shd w:val="clear" w:color="000000" w:fill="FFFFFF"/>
            <w:vAlign w:val="center"/>
          </w:tcPr>
          <w:p w:rsidR="0036611B" w:rsidRPr="006E20C6" w:rsidRDefault="0036611B" w:rsidP="00C472DF">
            <w:pPr>
              <w:jc w:val="center"/>
              <w:rPr>
                <w:bCs/>
                <w:color w:val="000000"/>
                <w:sz w:val="20"/>
                <w:szCs w:val="20"/>
              </w:rPr>
            </w:pPr>
            <w:r w:rsidRPr="006E20C6">
              <w:rPr>
                <w:bCs/>
                <w:color w:val="000000"/>
                <w:sz w:val="20"/>
                <w:szCs w:val="20"/>
              </w:rPr>
              <w:t>Кол-во</w:t>
            </w:r>
          </w:p>
        </w:tc>
        <w:tc>
          <w:tcPr>
            <w:tcW w:w="1260" w:type="dxa"/>
            <w:shd w:val="clear" w:color="000000" w:fill="FFFFFF"/>
            <w:vAlign w:val="center"/>
          </w:tcPr>
          <w:p w:rsidR="0036611B" w:rsidRPr="006E20C6" w:rsidRDefault="0036611B" w:rsidP="00C472DF">
            <w:pPr>
              <w:jc w:val="center"/>
              <w:rPr>
                <w:bCs/>
                <w:color w:val="000000"/>
                <w:sz w:val="20"/>
                <w:szCs w:val="20"/>
              </w:rPr>
            </w:pPr>
            <w:r w:rsidRPr="006E20C6">
              <w:rPr>
                <w:bCs/>
                <w:color w:val="000000"/>
                <w:sz w:val="20"/>
                <w:szCs w:val="20"/>
              </w:rPr>
              <w:t xml:space="preserve">Цена за единицу </w:t>
            </w:r>
          </w:p>
          <w:p w:rsidR="0036611B" w:rsidRPr="006E20C6" w:rsidRDefault="0036611B" w:rsidP="00C472DF">
            <w:pPr>
              <w:jc w:val="center"/>
              <w:rPr>
                <w:bCs/>
                <w:color w:val="000000"/>
                <w:sz w:val="20"/>
                <w:szCs w:val="20"/>
              </w:rPr>
            </w:pPr>
            <w:r>
              <w:rPr>
                <w:bCs/>
                <w:color w:val="000000"/>
                <w:sz w:val="20"/>
                <w:szCs w:val="20"/>
              </w:rPr>
              <w:t>с НДС</w:t>
            </w:r>
            <w:r w:rsidRPr="006E20C6">
              <w:rPr>
                <w:bCs/>
                <w:color w:val="000000"/>
                <w:sz w:val="20"/>
                <w:szCs w:val="20"/>
              </w:rPr>
              <w:t>, руб.</w:t>
            </w:r>
          </w:p>
          <w:p w:rsidR="0036611B" w:rsidRPr="006E20C6" w:rsidRDefault="0036611B" w:rsidP="00C472DF">
            <w:pPr>
              <w:jc w:val="center"/>
              <w:rPr>
                <w:bCs/>
                <w:color w:val="000000"/>
                <w:sz w:val="20"/>
                <w:szCs w:val="20"/>
              </w:rPr>
            </w:pPr>
          </w:p>
        </w:tc>
        <w:tc>
          <w:tcPr>
            <w:tcW w:w="1125" w:type="dxa"/>
            <w:shd w:val="clear" w:color="000000" w:fill="FFFFFF"/>
            <w:vAlign w:val="center"/>
          </w:tcPr>
          <w:p w:rsidR="0036611B" w:rsidRPr="006E20C6" w:rsidRDefault="0036611B" w:rsidP="00C472DF">
            <w:pPr>
              <w:jc w:val="center"/>
              <w:rPr>
                <w:bCs/>
                <w:color w:val="000000"/>
                <w:sz w:val="20"/>
                <w:szCs w:val="20"/>
              </w:rPr>
            </w:pPr>
            <w:r w:rsidRPr="006E20C6">
              <w:rPr>
                <w:bCs/>
                <w:color w:val="000000"/>
                <w:sz w:val="20"/>
                <w:szCs w:val="20"/>
              </w:rPr>
              <w:t>Сумма</w:t>
            </w:r>
            <w:r>
              <w:rPr>
                <w:bCs/>
                <w:color w:val="000000"/>
                <w:sz w:val="20"/>
                <w:szCs w:val="20"/>
              </w:rPr>
              <w:t xml:space="preserve"> с НДС</w:t>
            </w:r>
            <w:r w:rsidRPr="006E20C6">
              <w:rPr>
                <w:bCs/>
                <w:color w:val="000000"/>
                <w:sz w:val="20"/>
                <w:szCs w:val="20"/>
              </w:rPr>
              <w:t>, руб.</w:t>
            </w:r>
          </w:p>
          <w:p w:rsidR="0036611B" w:rsidRPr="006E20C6" w:rsidRDefault="0036611B" w:rsidP="00C472DF">
            <w:pPr>
              <w:jc w:val="center"/>
              <w:rPr>
                <w:bCs/>
                <w:color w:val="000000"/>
                <w:sz w:val="20"/>
                <w:szCs w:val="20"/>
              </w:rPr>
            </w:pPr>
          </w:p>
        </w:tc>
      </w:tr>
      <w:tr w:rsidR="0036611B" w:rsidRPr="00CB532B" w:rsidTr="00C472DF">
        <w:trPr>
          <w:trHeight w:val="420"/>
          <w:jc w:val="center"/>
        </w:trPr>
        <w:tc>
          <w:tcPr>
            <w:tcW w:w="701" w:type="dxa"/>
            <w:shd w:val="clear" w:color="000000" w:fill="FFFFFF"/>
            <w:vAlign w:val="center"/>
          </w:tcPr>
          <w:p w:rsidR="0036611B" w:rsidRPr="00CB532B" w:rsidRDefault="0036611B" w:rsidP="00C472DF">
            <w:pPr>
              <w:jc w:val="center"/>
              <w:rPr>
                <w:color w:val="000000"/>
              </w:rPr>
            </w:pPr>
            <w:r w:rsidRPr="00CB532B">
              <w:rPr>
                <w:color w:val="000000"/>
              </w:rPr>
              <w:t>1</w:t>
            </w:r>
          </w:p>
        </w:tc>
        <w:tc>
          <w:tcPr>
            <w:tcW w:w="1559" w:type="dxa"/>
            <w:shd w:val="clear" w:color="000000" w:fill="FFFFFF"/>
          </w:tcPr>
          <w:p w:rsidR="0036611B" w:rsidRPr="00CB532B" w:rsidRDefault="0036611B" w:rsidP="00C472DF"/>
        </w:tc>
        <w:tc>
          <w:tcPr>
            <w:tcW w:w="2410" w:type="dxa"/>
            <w:shd w:val="clear" w:color="000000" w:fill="FFFFFF"/>
            <w:vAlign w:val="center"/>
          </w:tcPr>
          <w:p w:rsidR="0036611B" w:rsidRPr="00CB532B" w:rsidRDefault="0036611B" w:rsidP="00C472DF">
            <w:pPr>
              <w:jc w:val="center"/>
              <w:rPr>
                <w:color w:val="000000"/>
              </w:rPr>
            </w:pPr>
          </w:p>
        </w:tc>
        <w:tc>
          <w:tcPr>
            <w:tcW w:w="1701" w:type="dxa"/>
            <w:shd w:val="clear" w:color="000000" w:fill="FFFFFF"/>
          </w:tcPr>
          <w:p w:rsidR="0036611B" w:rsidRPr="00CB532B" w:rsidRDefault="0036611B" w:rsidP="00C472DF">
            <w:pPr>
              <w:jc w:val="center"/>
              <w:rPr>
                <w:bCs/>
              </w:rPr>
            </w:pPr>
          </w:p>
        </w:tc>
        <w:tc>
          <w:tcPr>
            <w:tcW w:w="700" w:type="dxa"/>
            <w:shd w:val="clear" w:color="000000" w:fill="FFFFFF"/>
            <w:vAlign w:val="center"/>
          </w:tcPr>
          <w:p w:rsidR="0036611B" w:rsidRPr="00CB532B" w:rsidRDefault="0036611B" w:rsidP="00C472DF">
            <w:pPr>
              <w:jc w:val="center"/>
              <w:rPr>
                <w:bCs/>
              </w:rPr>
            </w:pPr>
          </w:p>
        </w:tc>
        <w:tc>
          <w:tcPr>
            <w:tcW w:w="733" w:type="dxa"/>
            <w:shd w:val="clear" w:color="000000" w:fill="FFFFFF"/>
            <w:vAlign w:val="center"/>
          </w:tcPr>
          <w:p w:rsidR="0036611B" w:rsidRPr="00CB532B" w:rsidRDefault="0036611B" w:rsidP="00C472DF">
            <w:pPr>
              <w:jc w:val="center"/>
            </w:pPr>
          </w:p>
        </w:tc>
        <w:tc>
          <w:tcPr>
            <w:tcW w:w="1260" w:type="dxa"/>
            <w:shd w:val="clear" w:color="000000" w:fill="FFFFFF"/>
            <w:vAlign w:val="center"/>
          </w:tcPr>
          <w:p w:rsidR="0036611B" w:rsidRPr="00CB532B" w:rsidRDefault="0036611B" w:rsidP="00C472DF">
            <w:pPr>
              <w:jc w:val="center"/>
              <w:rPr>
                <w:color w:val="000000"/>
              </w:rPr>
            </w:pPr>
          </w:p>
        </w:tc>
        <w:tc>
          <w:tcPr>
            <w:tcW w:w="1125" w:type="dxa"/>
            <w:shd w:val="clear" w:color="000000" w:fill="FFFFFF"/>
            <w:vAlign w:val="center"/>
          </w:tcPr>
          <w:p w:rsidR="0036611B" w:rsidRPr="00CB532B" w:rsidRDefault="0036611B" w:rsidP="00C472DF">
            <w:pPr>
              <w:jc w:val="center"/>
            </w:pPr>
          </w:p>
        </w:tc>
      </w:tr>
      <w:tr w:rsidR="00C472DF" w:rsidRPr="00CB532B" w:rsidTr="00C472DF">
        <w:trPr>
          <w:trHeight w:val="420"/>
          <w:jc w:val="center"/>
        </w:trPr>
        <w:tc>
          <w:tcPr>
            <w:tcW w:w="701" w:type="dxa"/>
            <w:shd w:val="clear" w:color="000000" w:fill="FFFFFF"/>
            <w:vAlign w:val="center"/>
          </w:tcPr>
          <w:p w:rsidR="00C472DF" w:rsidRPr="00CB532B" w:rsidRDefault="00C472DF" w:rsidP="00C472DF">
            <w:pPr>
              <w:jc w:val="center"/>
              <w:rPr>
                <w:color w:val="000000"/>
              </w:rPr>
            </w:pPr>
            <w:r>
              <w:rPr>
                <w:color w:val="000000"/>
              </w:rPr>
              <w:t>2</w:t>
            </w:r>
          </w:p>
        </w:tc>
        <w:tc>
          <w:tcPr>
            <w:tcW w:w="1559" w:type="dxa"/>
            <w:shd w:val="clear" w:color="000000" w:fill="FFFFFF"/>
          </w:tcPr>
          <w:p w:rsidR="00C472DF" w:rsidRPr="00CB532B" w:rsidRDefault="00C472DF" w:rsidP="00C472DF"/>
        </w:tc>
        <w:tc>
          <w:tcPr>
            <w:tcW w:w="2410" w:type="dxa"/>
            <w:shd w:val="clear" w:color="000000" w:fill="FFFFFF"/>
            <w:vAlign w:val="center"/>
          </w:tcPr>
          <w:p w:rsidR="00C472DF" w:rsidRPr="00CB532B" w:rsidRDefault="00C472DF" w:rsidP="00C472DF">
            <w:pPr>
              <w:jc w:val="center"/>
              <w:rPr>
                <w:color w:val="000000"/>
              </w:rPr>
            </w:pPr>
          </w:p>
        </w:tc>
        <w:tc>
          <w:tcPr>
            <w:tcW w:w="1701" w:type="dxa"/>
            <w:shd w:val="clear" w:color="000000" w:fill="FFFFFF"/>
          </w:tcPr>
          <w:p w:rsidR="00C472DF" w:rsidRPr="00CB532B" w:rsidRDefault="00C472DF" w:rsidP="00C472DF">
            <w:pPr>
              <w:jc w:val="center"/>
              <w:rPr>
                <w:bCs/>
              </w:rPr>
            </w:pPr>
          </w:p>
        </w:tc>
        <w:tc>
          <w:tcPr>
            <w:tcW w:w="700" w:type="dxa"/>
            <w:shd w:val="clear" w:color="000000" w:fill="FFFFFF"/>
            <w:vAlign w:val="center"/>
          </w:tcPr>
          <w:p w:rsidR="00C472DF" w:rsidRPr="00CB532B" w:rsidRDefault="00C472DF" w:rsidP="00C472DF">
            <w:pPr>
              <w:jc w:val="center"/>
              <w:rPr>
                <w:bCs/>
              </w:rPr>
            </w:pPr>
          </w:p>
        </w:tc>
        <w:tc>
          <w:tcPr>
            <w:tcW w:w="733" w:type="dxa"/>
            <w:shd w:val="clear" w:color="000000" w:fill="FFFFFF"/>
            <w:vAlign w:val="center"/>
          </w:tcPr>
          <w:p w:rsidR="00C472DF" w:rsidRPr="00CB532B" w:rsidRDefault="00C472DF" w:rsidP="00C472DF">
            <w:pPr>
              <w:jc w:val="center"/>
            </w:pPr>
          </w:p>
        </w:tc>
        <w:tc>
          <w:tcPr>
            <w:tcW w:w="1260" w:type="dxa"/>
            <w:shd w:val="clear" w:color="000000" w:fill="FFFFFF"/>
            <w:vAlign w:val="center"/>
          </w:tcPr>
          <w:p w:rsidR="00C472DF" w:rsidRPr="00CB532B" w:rsidRDefault="00C472DF" w:rsidP="00C472DF">
            <w:pPr>
              <w:jc w:val="center"/>
              <w:rPr>
                <w:color w:val="000000"/>
              </w:rPr>
            </w:pPr>
          </w:p>
        </w:tc>
        <w:tc>
          <w:tcPr>
            <w:tcW w:w="1125" w:type="dxa"/>
            <w:shd w:val="clear" w:color="000000" w:fill="FFFFFF"/>
            <w:vAlign w:val="center"/>
          </w:tcPr>
          <w:p w:rsidR="00C472DF" w:rsidRPr="00CB532B" w:rsidRDefault="00C472DF" w:rsidP="00C472DF">
            <w:pPr>
              <w:jc w:val="center"/>
            </w:pPr>
          </w:p>
        </w:tc>
      </w:tr>
      <w:tr w:rsidR="00C472DF" w:rsidRPr="00CB532B" w:rsidTr="00C472DF">
        <w:trPr>
          <w:trHeight w:val="420"/>
          <w:jc w:val="center"/>
        </w:trPr>
        <w:tc>
          <w:tcPr>
            <w:tcW w:w="701" w:type="dxa"/>
            <w:shd w:val="clear" w:color="000000" w:fill="FFFFFF"/>
            <w:vAlign w:val="center"/>
          </w:tcPr>
          <w:p w:rsidR="00C472DF" w:rsidRPr="00CB532B" w:rsidRDefault="00C472DF" w:rsidP="00C472DF">
            <w:pPr>
              <w:jc w:val="center"/>
              <w:rPr>
                <w:color w:val="000000"/>
              </w:rPr>
            </w:pPr>
            <w:r>
              <w:rPr>
                <w:color w:val="000000"/>
              </w:rPr>
              <w:t>3</w:t>
            </w:r>
          </w:p>
        </w:tc>
        <w:tc>
          <w:tcPr>
            <w:tcW w:w="1559" w:type="dxa"/>
            <w:shd w:val="clear" w:color="000000" w:fill="FFFFFF"/>
          </w:tcPr>
          <w:p w:rsidR="00C472DF" w:rsidRPr="00CB532B" w:rsidRDefault="00C472DF" w:rsidP="00C472DF"/>
        </w:tc>
        <w:tc>
          <w:tcPr>
            <w:tcW w:w="2410" w:type="dxa"/>
            <w:shd w:val="clear" w:color="000000" w:fill="FFFFFF"/>
            <w:vAlign w:val="center"/>
          </w:tcPr>
          <w:p w:rsidR="00C472DF" w:rsidRPr="00CB532B" w:rsidRDefault="00C472DF" w:rsidP="00C472DF">
            <w:pPr>
              <w:jc w:val="center"/>
              <w:rPr>
                <w:color w:val="000000"/>
              </w:rPr>
            </w:pPr>
          </w:p>
        </w:tc>
        <w:tc>
          <w:tcPr>
            <w:tcW w:w="1701" w:type="dxa"/>
            <w:shd w:val="clear" w:color="000000" w:fill="FFFFFF"/>
          </w:tcPr>
          <w:p w:rsidR="00C472DF" w:rsidRPr="00CB532B" w:rsidRDefault="00C472DF" w:rsidP="00C472DF">
            <w:pPr>
              <w:jc w:val="center"/>
              <w:rPr>
                <w:bCs/>
              </w:rPr>
            </w:pPr>
          </w:p>
        </w:tc>
        <w:tc>
          <w:tcPr>
            <w:tcW w:w="700" w:type="dxa"/>
            <w:shd w:val="clear" w:color="000000" w:fill="FFFFFF"/>
            <w:vAlign w:val="center"/>
          </w:tcPr>
          <w:p w:rsidR="00C472DF" w:rsidRPr="00CB532B" w:rsidRDefault="00C472DF" w:rsidP="00C472DF">
            <w:pPr>
              <w:jc w:val="center"/>
              <w:rPr>
                <w:bCs/>
              </w:rPr>
            </w:pPr>
          </w:p>
        </w:tc>
        <w:tc>
          <w:tcPr>
            <w:tcW w:w="733" w:type="dxa"/>
            <w:shd w:val="clear" w:color="000000" w:fill="FFFFFF"/>
            <w:vAlign w:val="center"/>
          </w:tcPr>
          <w:p w:rsidR="00C472DF" w:rsidRPr="00CB532B" w:rsidRDefault="00C472DF" w:rsidP="00C472DF">
            <w:pPr>
              <w:jc w:val="center"/>
            </w:pPr>
          </w:p>
        </w:tc>
        <w:tc>
          <w:tcPr>
            <w:tcW w:w="1260" w:type="dxa"/>
            <w:shd w:val="clear" w:color="000000" w:fill="FFFFFF"/>
            <w:vAlign w:val="center"/>
          </w:tcPr>
          <w:p w:rsidR="00C472DF" w:rsidRPr="00CB532B" w:rsidRDefault="00C472DF" w:rsidP="00C472DF">
            <w:pPr>
              <w:jc w:val="center"/>
              <w:rPr>
                <w:color w:val="000000"/>
              </w:rPr>
            </w:pPr>
          </w:p>
        </w:tc>
        <w:tc>
          <w:tcPr>
            <w:tcW w:w="1125" w:type="dxa"/>
            <w:shd w:val="clear" w:color="000000" w:fill="FFFFFF"/>
            <w:vAlign w:val="center"/>
          </w:tcPr>
          <w:p w:rsidR="00C472DF" w:rsidRPr="00CB532B" w:rsidRDefault="00C472DF" w:rsidP="00C472DF">
            <w:pPr>
              <w:jc w:val="center"/>
            </w:pPr>
          </w:p>
        </w:tc>
      </w:tr>
      <w:tr w:rsidR="00C472DF" w:rsidRPr="00CB532B" w:rsidTr="00C472DF">
        <w:trPr>
          <w:trHeight w:val="420"/>
          <w:jc w:val="center"/>
        </w:trPr>
        <w:tc>
          <w:tcPr>
            <w:tcW w:w="701" w:type="dxa"/>
            <w:shd w:val="clear" w:color="000000" w:fill="FFFFFF"/>
            <w:vAlign w:val="center"/>
          </w:tcPr>
          <w:p w:rsidR="00C472DF" w:rsidRPr="00CB532B" w:rsidRDefault="00C472DF" w:rsidP="00C472DF">
            <w:pPr>
              <w:jc w:val="center"/>
              <w:rPr>
                <w:color w:val="000000"/>
              </w:rPr>
            </w:pPr>
            <w:r>
              <w:rPr>
                <w:color w:val="000000"/>
              </w:rPr>
              <w:t>4</w:t>
            </w:r>
          </w:p>
        </w:tc>
        <w:tc>
          <w:tcPr>
            <w:tcW w:w="1559" w:type="dxa"/>
            <w:shd w:val="clear" w:color="000000" w:fill="FFFFFF"/>
          </w:tcPr>
          <w:p w:rsidR="00C472DF" w:rsidRPr="00CB532B" w:rsidRDefault="00C472DF" w:rsidP="00C472DF"/>
        </w:tc>
        <w:tc>
          <w:tcPr>
            <w:tcW w:w="2410" w:type="dxa"/>
            <w:shd w:val="clear" w:color="000000" w:fill="FFFFFF"/>
            <w:vAlign w:val="center"/>
          </w:tcPr>
          <w:p w:rsidR="00C472DF" w:rsidRPr="00CB532B" w:rsidRDefault="00C472DF" w:rsidP="00C472DF">
            <w:pPr>
              <w:jc w:val="center"/>
              <w:rPr>
                <w:color w:val="000000"/>
              </w:rPr>
            </w:pPr>
          </w:p>
        </w:tc>
        <w:tc>
          <w:tcPr>
            <w:tcW w:w="1701" w:type="dxa"/>
            <w:shd w:val="clear" w:color="000000" w:fill="FFFFFF"/>
          </w:tcPr>
          <w:p w:rsidR="00C472DF" w:rsidRPr="00CB532B" w:rsidRDefault="00C472DF" w:rsidP="00C472DF">
            <w:pPr>
              <w:jc w:val="center"/>
              <w:rPr>
                <w:bCs/>
              </w:rPr>
            </w:pPr>
          </w:p>
        </w:tc>
        <w:tc>
          <w:tcPr>
            <w:tcW w:w="700" w:type="dxa"/>
            <w:shd w:val="clear" w:color="000000" w:fill="FFFFFF"/>
            <w:vAlign w:val="center"/>
          </w:tcPr>
          <w:p w:rsidR="00C472DF" w:rsidRPr="00CB532B" w:rsidRDefault="00C472DF" w:rsidP="00C472DF">
            <w:pPr>
              <w:jc w:val="center"/>
              <w:rPr>
                <w:bCs/>
              </w:rPr>
            </w:pPr>
          </w:p>
        </w:tc>
        <w:tc>
          <w:tcPr>
            <w:tcW w:w="733" w:type="dxa"/>
            <w:shd w:val="clear" w:color="000000" w:fill="FFFFFF"/>
            <w:vAlign w:val="center"/>
          </w:tcPr>
          <w:p w:rsidR="00C472DF" w:rsidRPr="00CB532B" w:rsidRDefault="00C472DF" w:rsidP="00C472DF">
            <w:pPr>
              <w:jc w:val="center"/>
            </w:pPr>
          </w:p>
        </w:tc>
        <w:tc>
          <w:tcPr>
            <w:tcW w:w="1260" w:type="dxa"/>
            <w:shd w:val="clear" w:color="000000" w:fill="FFFFFF"/>
            <w:vAlign w:val="center"/>
          </w:tcPr>
          <w:p w:rsidR="00C472DF" w:rsidRPr="00CB532B" w:rsidRDefault="00C472DF" w:rsidP="00C472DF">
            <w:pPr>
              <w:jc w:val="center"/>
              <w:rPr>
                <w:color w:val="000000"/>
              </w:rPr>
            </w:pPr>
          </w:p>
        </w:tc>
        <w:tc>
          <w:tcPr>
            <w:tcW w:w="1125" w:type="dxa"/>
            <w:shd w:val="clear" w:color="000000" w:fill="FFFFFF"/>
            <w:vAlign w:val="center"/>
          </w:tcPr>
          <w:p w:rsidR="00C472DF" w:rsidRPr="00CB532B" w:rsidRDefault="00C472DF" w:rsidP="00C472DF">
            <w:pPr>
              <w:jc w:val="center"/>
            </w:pPr>
          </w:p>
        </w:tc>
      </w:tr>
      <w:tr w:rsidR="0036611B" w:rsidRPr="00CB532B" w:rsidTr="00C472DF">
        <w:trPr>
          <w:trHeight w:val="420"/>
          <w:jc w:val="center"/>
        </w:trPr>
        <w:tc>
          <w:tcPr>
            <w:tcW w:w="7804" w:type="dxa"/>
            <w:gridSpan w:val="6"/>
            <w:shd w:val="clear" w:color="000000" w:fill="FFFFFF"/>
            <w:vAlign w:val="center"/>
          </w:tcPr>
          <w:p w:rsidR="0036611B" w:rsidRPr="00CB532B" w:rsidRDefault="0036611B" w:rsidP="00C472DF">
            <w:r>
              <w:t>ИТОГО</w:t>
            </w:r>
          </w:p>
        </w:tc>
        <w:tc>
          <w:tcPr>
            <w:tcW w:w="1260" w:type="dxa"/>
            <w:shd w:val="clear" w:color="000000" w:fill="FFFFFF"/>
            <w:vAlign w:val="center"/>
          </w:tcPr>
          <w:p w:rsidR="0036611B" w:rsidRPr="00CB532B" w:rsidRDefault="0036611B" w:rsidP="00C472DF">
            <w:pPr>
              <w:jc w:val="center"/>
              <w:rPr>
                <w:color w:val="000000"/>
              </w:rPr>
            </w:pPr>
          </w:p>
        </w:tc>
        <w:tc>
          <w:tcPr>
            <w:tcW w:w="1125" w:type="dxa"/>
            <w:shd w:val="clear" w:color="000000" w:fill="FFFFFF"/>
            <w:vAlign w:val="center"/>
          </w:tcPr>
          <w:p w:rsidR="0036611B" w:rsidRPr="00CB532B" w:rsidRDefault="0036611B" w:rsidP="00C472DF">
            <w:pPr>
              <w:jc w:val="center"/>
            </w:pPr>
          </w:p>
        </w:tc>
      </w:tr>
    </w:tbl>
    <w:p w:rsidR="005E211C" w:rsidRDefault="005E211C">
      <w:pPr>
        <w:rPr>
          <w:sz w:val="20"/>
          <w:szCs w:val="20"/>
        </w:rPr>
      </w:pPr>
    </w:p>
    <w:sectPr w:rsidR="005E211C" w:rsidSect="0030056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2DF" w:rsidRDefault="00C472DF" w:rsidP="000B44CB">
      <w:r>
        <w:separator/>
      </w:r>
    </w:p>
  </w:endnote>
  <w:endnote w:type="continuationSeparator" w:id="1">
    <w:p w:rsidR="00C472DF" w:rsidRDefault="00C472DF" w:rsidP="000B44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2DF" w:rsidRDefault="00C472DF" w:rsidP="000B44CB">
      <w:r>
        <w:separator/>
      </w:r>
    </w:p>
  </w:footnote>
  <w:footnote w:type="continuationSeparator" w:id="1">
    <w:p w:rsidR="00C472DF" w:rsidRDefault="00C472DF" w:rsidP="000B4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B3F03"/>
    <w:multiLevelType w:val="hybridMultilevel"/>
    <w:tmpl w:val="C4C2EB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396D44DE"/>
    <w:multiLevelType w:val="multilevel"/>
    <w:tmpl w:val="2F123ED0"/>
    <w:lvl w:ilvl="0">
      <w:start w:val="1"/>
      <w:numFmt w:val="decimal"/>
      <w:lvlText w:val="%1."/>
      <w:lvlJc w:val="left"/>
      <w:pPr>
        <w:ind w:left="720" w:hanging="360"/>
      </w:pPr>
      <w:rPr>
        <w:rFonts w:hint="default"/>
        <w:b/>
        <w:sz w:val="24"/>
        <w:szCs w:val="24"/>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425D382B"/>
    <w:multiLevelType w:val="hybridMultilevel"/>
    <w:tmpl w:val="05A4D544"/>
    <w:lvl w:ilvl="0" w:tplc="419EDAEA">
      <w:start w:val="1"/>
      <w:numFmt w:val="decimal"/>
      <w:lvlText w:val="%1."/>
      <w:lvlJc w:val="left"/>
      <w:pPr>
        <w:ind w:left="390" w:hanging="390"/>
      </w:pPr>
      <w:rPr>
        <w:rFonts w:ascii="Times New Roman" w:eastAsia="MS Mincho" w:hAnsi="Times New Roman" w:cs="Times New Roman"/>
        <w:b w:val="0"/>
        <w:i w:val="0"/>
      </w:rPr>
    </w:lvl>
    <w:lvl w:ilvl="1" w:tplc="29728264" w:tentative="1">
      <w:start w:val="1"/>
      <w:numFmt w:val="lowerLetter"/>
      <w:lvlText w:val="%2."/>
      <w:lvlJc w:val="left"/>
      <w:pPr>
        <w:ind w:left="1440" w:hanging="360"/>
      </w:pPr>
    </w:lvl>
    <w:lvl w:ilvl="2" w:tplc="A29CCDD4" w:tentative="1">
      <w:start w:val="1"/>
      <w:numFmt w:val="lowerRoman"/>
      <w:lvlText w:val="%3."/>
      <w:lvlJc w:val="right"/>
      <w:pPr>
        <w:ind w:left="2160" w:hanging="180"/>
      </w:pPr>
    </w:lvl>
    <w:lvl w:ilvl="3" w:tplc="F028D71C" w:tentative="1">
      <w:start w:val="1"/>
      <w:numFmt w:val="decimal"/>
      <w:lvlText w:val="%4."/>
      <w:lvlJc w:val="left"/>
      <w:pPr>
        <w:ind w:left="2880" w:hanging="360"/>
      </w:pPr>
    </w:lvl>
    <w:lvl w:ilvl="4" w:tplc="D2AA7222" w:tentative="1">
      <w:start w:val="1"/>
      <w:numFmt w:val="lowerLetter"/>
      <w:lvlText w:val="%5."/>
      <w:lvlJc w:val="left"/>
      <w:pPr>
        <w:ind w:left="3600" w:hanging="360"/>
      </w:pPr>
    </w:lvl>
    <w:lvl w:ilvl="5" w:tplc="E5F228F2" w:tentative="1">
      <w:start w:val="1"/>
      <w:numFmt w:val="lowerRoman"/>
      <w:lvlText w:val="%6."/>
      <w:lvlJc w:val="right"/>
      <w:pPr>
        <w:ind w:left="4320" w:hanging="180"/>
      </w:pPr>
    </w:lvl>
    <w:lvl w:ilvl="6" w:tplc="36827E6A" w:tentative="1">
      <w:start w:val="1"/>
      <w:numFmt w:val="decimal"/>
      <w:lvlText w:val="%7."/>
      <w:lvlJc w:val="left"/>
      <w:pPr>
        <w:ind w:left="5040" w:hanging="360"/>
      </w:pPr>
    </w:lvl>
    <w:lvl w:ilvl="7" w:tplc="0BF4F724" w:tentative="1">
      <w:start w:val="1"/>
      <w:numFmt w:val="lowerLetter"/>
      <w:lvlText w:val="%8."/>
      <w:lvlJc w:val="left"/>
      <w:pPr>
        <w:ind w:left="5760" w:hanging="360"/>
      </w:pPr>
    </w:lvl>
    <w:lvl w:ilvl="8" w:tplc="CEFA0D2A" w:tentative="1">
      <w:start w:val="1"/>
      <w:numFmt w:val="lowerRoman"/>
      <w:lvlText w:val="%9."/>
      <w:lvlJc w:val="right"/>
      <w:pPr>
        <w:ind w:left="6480" w:hanging="180"/>
      </w:pPr>
    </w:lvl>
  </w:abstractNum>
  <w:abstractNum w:abstractNumId="3">
    <w:nsid w:val="469758B6"/>
    <w:multiLevelType w:val="hybridMultilevel"/>
    <w:tmpl w:val="CB6220EC"/>
    <w:lvl w:ilvl="0" w:tplc="5CF6ADD8">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F7394"/>
    <w:multiLevelType w:val="multilevel"/>
    <w:tmpl w:val="295407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75B9"/>
    <w:rsid w:val="00035015"/>
    <w:rsid w:val="0005301F"/>
    <w:rsid w:val="000A1409"/>
    <w:rsid w:val="000A5351"/>
    <w:rsid w:val="000B44CB"/>
    <w:rsid w:val="000C4372"/>
    <w:rsid w:val="000D229D"/>
    <w:rsid w:val="00142084"/>
    <w:rsid w:val="001471E1"/>
    <w:rsid w:val="0015187F"/>
    <w:rsid w:val="00157EB3"/>
    <w:rsid w:val="00185A61"/>
    <w:rsid w:val="00193303"/>
    <w:rsid w:val="0019557B"/>
    <w:rsid w:val="00196E0F"/>
    <w:rsid w:val="001B66EA"/>
    <w:rsid w:val="001C21A7"/>
    <w:rsid w:val="0020450D"/>
    <w:rsid w:val="002071C5"/>
    <w:rsid w:val="00215A1B"/>
    <w:rsid w:val="002174CE"/>
    <w:rsid w:val="0022216A"/>
    <w:rsid w:val="00230C95"/>
    <w:rsid w:val="002429DD"/>
    <w:rsid w:val="00244844"/>
    <w:rsid w:val="002550C3"/>
    <w:rsid w:val="002600FE"/>
    <w:rsid w:val="00270CB6"/>
    <w:rsid w:val="00276B39"/>
    <w:rsid w:val="00292053"/>
    <w:rsid w:val="00293717"/>
    <w:rsid w:val="002A2111"/>
    <w:rsid w:val="002A6544"/>
    <w:rsid w:val="002D45DB"/>
    <w:rsid w:val="002F7865"/>
    <w:rsid w:val="00300560"/>
    <w:rsid w:val="0031091D"/>
    <w:rsid w:val="00336769"/>
    <w:rsid w:val="003457F4"/>
    <w:rsid w:val="00364ABF"/>
    <w:rsid w:val="0036611B"/>
    <w:rsid w:val="00370CB2"/>
    <w:rsid w:val="003B6665"/>
    <w:rsid w:val="003C482F"/>
    <w:rsid w:val="0040148D"/>
    <w:rsid w:val="0040776D"/>
    <w:rsid w:val="00413EDA"/>
    <w:rsid w:val="00420C08"/>
    <w:rsid w:val="004248E9"/>
    <w:rsid w:val="00430E3A"/>
    <w:rsid w:val="00450D13"/>
    <w:rsid w:val="00464DE6"/>
    <w:rsid w:val="00495B81"/>
    <w:rsid w:val="004A56D5"/>
    <w:rsid w:val="004C5ECC"/>
    <w:rsid w:val="004C7473"/>
    <w:rsid w:val="004D34ED"/>
    <w:rsid w:val="004E40BC"/>
    <w:rsid w:val="004E4703"/>
    <w:rsid w:val="004F54F9"/>
    <w:rsid w:val="005059BD"/>
    <w:rsid w:val="00507C1D"/>
    <w:rsid w:val="00515BD1"/>
    <w:rsid w:val="005263C8"/>
    <w:rsid w:val="00566A6F"/>
    <w:rsid w:val="005911E9"/>
    <w:rsid w:val="00595E08"/>
    <w:rsid w:val="00597E95"/>
    <w:rsid w:val="005B338A"/>
    <w:rsid w:val="005B7102"/>
    <w:rsid w:val="005D3D5A"/>
    <w:rsid w:val="005E211C"/>
    <w:rsid w:val="00603573"/>
    <w:rsid w:val="0065589A"/>
    <w:rsid w:val="00691C5B"/>
    <w:rsid w:val="006A04A5"/>
    <w:rsid w:val="006D3FF2"/>
    <w:rsid w:val="006E1827"/>
    <w:rsid w:val="006F1F0D"/>
    <w:rsid w:val="0070249E"/>
    <w:rsid w:val="00702788"/>
    <w:rsid w:val="00712192"/>
    <w:rsid w:val="00714DB0"/>
    <w:rsid w:val="00717670"/>
    <w:rsid w:val="00724529"/>
    <w:rsid w:val="0074000E"/>
    <w:rsid w:val="007552C4"/>
    <w:rsid w:val="00770C31"/>
    <w:rsid w:val="00772C36"/>
    <w:rsid w:val="00772CCE"/>
    <w:rsid w:val="00790628"/>
    <w:rsid w:val="007B0C9C"/>
    <w:rsid w:val="007B40EE"/>
    <w:rsid w:val="007E75B9"/>
    <w:rsid w:val="00805798"/>
    <w:rsid w:val="00823D3D"/>
    <w:rsid w:val="008269C7"/>
    <w:rsid w:val="00833B03"/>
    <w:rsid w:val="00834860"/>
    <w:rsid w:val="00843FE8"/>
    <w:rsid w:val="0086271F"/>
    <w:rsid w:val="00874AE2"/>
    <w:rsid w:val="00883289"/>
    <w:rsid w:val="008D5CA4"/>
    <w:rsid w:val="008F35A8"/>
    <w:rsid w:val="00901A4B"/>
    <w:rsid w:val="00913324"/>
    <w:rsid w:val="00915319"/>
    <w:rsid w:val="009159CA"/>
    <w:rsid w:val="00972267"/>
    <w:rsid w:val="0097303A"/>
    <w:rsid w:val="00981EB0"/>
    <w:rsid w:val="00987F73"/>
    <w:rsid w:val="00994B88"/>
    <w:rsid w:val="009A3CF9"/>
    <w:rsid w:val="009B391A"/>
    <w:rsid w:val="009B4DC4"/>
    <w:rsid w:val="009E419A"/>
    <w:rsid w:val="009F1EEE"/>
    <w:rsid w:val="009F471A"/>
    <w:rsid w:val="00A26E99"/>
    <w:rsid w:val="00A50A0D"/>
    <w:rsid w:val="00AB7DAA"/>
    <w:rsid w:val="00AE21F7"/>
    <w:rsid w:val="00AE5DAA"/>
    <w:rsid w:val="00B13639"/>
    <w:rsid w:val="00B26F80"/>
    <w:rsid w:val="00B51EDC"/>
    <w:rsid w:val="00B55FDB"/>
    <w:rsid w:val="00B7759F"/>
    <w:rsid w:val="00B901D2"/>
    <w:rsid w:val="00B949BD"/>
    <w:rsid w:val="00BB22B4"/>
    <w:rsid w:val="00BC778F"/>
    <w:rsid w:val="00BF4F9C"/>
    <w:rsid w:val="00BF7047"/>
    <w:rsid w:val="00C01B7E"/>
    <w:rsid w:val="00C02BE7"/>
    <w:rsid w:val="00C11536"/>
    <w:rsid w:val="00C24704"/>
    <w:rsid w:val="00C434B5"/>
    <w:rsid w:val="00C472DF"/>
    <w:rsid w:val="00C52550"/>
    <w:rsid w:val="00C52A9A"/>
    <w:rsid w:val="00C66269"/>
    <w:rsid w:val="00C9764D"/>
    <w:rsid w:val="00CB156A"/>
    <w:rsid w:val="00CC04A1"/>
    <w:rsid w:val="00CC5406"/>
    <w:rsid w:val="00CC5A2C"/>
    <w:rsid w:val="00CD1971"/>
    <w:rsid w:val="00CE2D48"/>
    <w:rsid w:val="00CF6150"/>
    <w:rsid w:val="00D06939"/>
    <w:rsid w:val="00D13661"/>
    <w:rsid w:val="00D252BE"/>
    <w:rsid w:val="00D3448B"/>
    <w:rsid w:val="00D345F2"/>
    <w:rsid w:val="00D43602"/>
    <w:rsid w:val="00D530C9"/>
    <w:rsid w:val="00D64BB5"/>
    <w:rsid w:val="00DC7BF5"/>
    <w:rsid w:val="00DD610E"/>
    <w:rsid w:val="00DF787F"/>
    <w:rsid w:val="00E11C9F"/>
    <w:rsid w:val="00E23E82"/>
    <w:rsid w:val="00E34DB6"/>
    <w:rsid w:val="00E53528"/>
    <w:rsid w:val="00E7037C"/>
    <w:rsid w:val="00E746B6"/>
    <w:rsid w:val="00E80217"/>
    <w:rsid w:val="00E97C6B"/>
    <w:rsid w:val="00EA13AA"/>
    <w:rsid w:val="00EB46D7"/>
    <w:rsid w:val="00EB6735"/>
    <w:rsid w:val="00EB6847"/>
    <w:rsid w:val="00ED19AA"/>
    <w:rsid w:val="00ED43DF"/>
    <w:rsid w:val="00ED5104"/>
    <w:rsid w:val="00F00698"/>
    <w:rsid w:val="00F060D7"/>
    <w:rsid w:val="00F21F3F"/>
    <w:rsid w:val="00F25939"/>
    <w:rsid w:val="00F355F8"/>
    <w:rsid w:val="00F44E17"/>
    <w:rsid w:val="00F63212"/>
    <w:rsid w:val="00F7765E"/>
    <w:rsid w:val="00FE0F99"/>
    <w:rsid w:val="00FE12EC"/>
    <w:rsid w:val="00FE3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rdmaininfocontent2">
    <w:name w:val="cardmaininfo__content2"/>
    <w:basedOn w:val="a0"/>
    <w:rsid w:val="009E419A"/>
    <w:rPr>
      <w:vanish w:val="0"/>
      <w:webHidden w:val="0"/>
      <w:specVanish w:val="0"/>
    </w:rPr>
  </w:style>
  <w:style w:type="paragraph" w:customStyle="1" w:styleId="ConsPlusNormal">
    <w:name w:val="ConsPlusNormal"/>
    <w:link w:val="ConsPlusNormal0"/>
    <w:qFormat/>
    <w:rsid w:val="0020450D"/>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20450D"/>
    <w:rPr>
      <w:rFonts w:ascii="Calibri" w:eastAsia="Times New Roman" w:hAnsi="Calibri" w:cs="Times New Roman"/>
      <w:szCs w:val="20"/>
      <w:lang w:eastAsia="ru-RU"/>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uiPriority w:val="99"/>
    <w:qFormat/>
    <w:rsid w:val="0020450D"/>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20450D"/>
    <w:rPr>
      <w:rFonts w:ascii="Times New Roman" w:eastAsia="MS Mincho" w:hAnsi="Times New Roman" w:cs="Times New Roman"/>
      <w:sz w:val="26"/>
      <w:szCs w:val="24"/>
      <w:lang w:eastAsia="ru-RU"/>
    </w:rPr>
  </w:style>
  <w:style w:type="paragraph" w:styleId="a5">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
    <w:basedOn w:val="a"/>
    <w:link w:val="a6"/>
    <w:uiPriority w:val="34"/>
    <w:qFormat/>
    <w:rsid w:val="0020450D"/>
    <w:pPr>
      <w:ind w:left="708"/>
    </w:pPr>
  </w:style>
  <w:style w:type="character" w:customStyle="1" w:styleId="a6">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5"/>
    <w:uiPriority w:val="34"/>
    <w:qFormat/>
    <w:locked/>
    <w:rsid w:val="0020450D"/>
    <w:rPr>
      <w:rFonts w:ascii="Times New Roman" w:eastAsia="Times New Roman" w:hAnsi="Times New Roman" w:cs="Times New Roman"/>
      <w:sz w:val="24"/>
      <w:szCs w:val="24"/>
      <w:lang w:eastAsia="ru-RU"/>
    </w:rPr>
  </w:style>
  <w:style w:type="character" w:customStyle="1" w:styleId="1">
    <w:name w:val="Основной текст + Полужирный1"/>
    <w:aliases w:val="Курсив3,Интервал 0 pt1"/>
    <w:basedOn w:val="a0"/>
    <w:uiPriority w:val="99"/>
    <w:rsid w:val="0020450D"/>
    <w:rPr>
      <w:rFonts w:ascii="Times New Roman" w:hAnsi="Times New Roman" w:cs="Times New Roman"/>
      <w:b/>
      <w:bCs/>
      <w:i/>
      <w:iCs/>
      <w:spacing w:val="-10"/>
      <w:sz w:val="26"/>
      <w:szCs w:val="26"/>
      <w:u w:val="single"/>
      <w:lang w:val="en-US" w:eastAsia="en-US"/>
    </w:rPr>
  </w:style>
  <w:style w:type="character" w:styleId="a7">
    <w:name w:val="Hyperlink"/>
    <w:uiPriority w:val="99"/>
    <w:unhideWhenUsed/>
    <w:rsid w:val="00215A1B"/>
    <w:rPr>
      <w:color w:val="0563C1"/>
      <w:u w:val="single"/>
    </w:rPr>
  </w:style>
  <w:style w:type="character" w:styleId="a8">
    <w:name w:val="footnote reference"/>
    <w:aliases w:val="Ссылка на сноску 45,Знак сноски-FN"/>
    <w:basedOn w:val="a0"/>
    <w:uiPriority w:val="99"/>
    <w:unhideWhenUsed/>
    <w:rsid w:val="000B44CB"/>
    <w:rPr>
      <w:vertAlign w:val="superscript"/>
    </w:rPr>
  </w:style>
  <w:style w:type="paragraph" w:customStyle="1" w:styleId="ConsPlusNonformat">
    <w:name w:val="ConsPlusNonformat"/>
    <w:rsid w:val="000B44CB"/>
    <w:pPr>
      <w:widowControl w:val="0"/>
      <w:tabs>
        <w:tab w:val="num" w:pos="720"/>
      </w:tabs>
      <w:suppressAutoHyphens/>
      <w:autoSpaceDE w:val="0"/>
      <w:spacing w:after="0" w:line="240" w:lineRule="auto"/>
    </w:pPr>
    <w:rPr>
      <w:rFonts w:ascii="Courier New" w:eastAsia="Times New Roman" w:hAnsi="Courier New" w:cs="Courier New"/>
      <w:sz w:val="20"/>
      <w:szCs w:val="20"/>
      <w:lang w:eastAsia="zh-CN"/>
    </w:rPr>
  </w:style>
  <w:style w:type="table" w:styleId="a9">
    <w:name w:val="Table Grid"/>
    <w:basedOn w:val="a1"/>
    <w:uiPriority w:val="59"/>
    <w:rsid w:val="00874AE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rdmaininfocontent2">
    <w:name w:val="cardmaininfo__content2"/>
    <w:basedOn w:val="a0"/>
    <w:rsid w:val="009E419A"/>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8167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CBFD-886C-4AB0-A201-9474CF07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EVRAZ-MED</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shez</cp:lastModifiedBy>
  <cp:revision>36</cp:revision>
  <dcterms:created xsi:type="dcterms:W3CDTF">2022-07-18T09:53:00Z</dcterms:created>
  <dcterms:modified xsi:type="dcterms:W3CDTF">2023-09-07T06:47:00Z</dcterms:modified>
</cp:coreProperties>
</file>